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DE7318" w:rsidRDefault="00861193" w:rsidP="00861193">
      <w:pPr>
        <w:pStyle w:val="Heading1"/>
        <w:jc w:val="center"/>
        <w:rPr>
          <w:szCs w:val="48"/>
        </w:rPr>
      </w:pPr>
      <w:r w:rsidRPr="00DE7318">
        <w:rPr>
          <w:szCs w:val="48"/>
        </w:rPr>
        <w:t>Director of Forensic Disability</w:t>
      </w:r>
    </w:p>
    <w:p w14:paraId="70D897C6" w14:textId="42588EC9" w:rsidR="00861193" w:rsidRPr="00DE7318" w:rsidRDefault="003D7D20" w:rsidP="00861193">
      <w:pPr>
        <w:pStyle w:val="Heading1"/>
        <w:jc w:val="center"/>
        <w:rPr>
          <w:szCs w:val="48"/>
        </w:rPr>
      </w:pPr>
      <w:r>
        <w:rPr>
          <w:szCs w:val="48"/>
        </w:rPr>
        <w:t>PROCEDURE</w:t>
      </w:r>
    </w:p>
    <w:p w14:paraId="4043864F" w14:textId="32719F00" w:rsidR="00861193" w:rsidRPr="00EE46E8" w:rsidRDefault="00861193" w:rsidP="00951238">
      <w:pPr>
        <w:pStyle w:val="Heading1"/>
        <w:pBdr>
          <w:bottom w:val="single" w:sz="6" w:space="1" w:color="auto"/>
        </w:pBdr>
        <w:spacing w:before="360" w:after="360"/>
        <w:ind w:left="1440" w:hanging="1440"/>
        <w:rPr>
          <w:b w:val="0"/>
          <w:sz w:val="36"/>
          <w:szCs w:val="36"/>
        </w:rPr>
      </w:pPr>
      <w:r w:rsidRPr="00EE46E8">
        <w:rPr>
          <w:sz w:val="36"/>
          <w:szCs w:val="36"/>
        </w:rPr>
        <w:t>Title:</w:t>
      </w:r>
      <w:r w:rsidRPr="00EE46E8">
        <w:rPr>
          <w:sz w:val="36"/>
          <w:szCs w:val="36"/>
        </w:rPr>
        <w:tab/>
      </w:r>
      <w:r w:rsidR="00074182">
        <w:rPr>
          <w:b w:val="0"/>
          <w:sz w:val="36"/>
          <w:szCs w:val="36"/>
        </w:rPr>
        <w:t>Transfer of Responsibility</w:t>
      </w:r>
      <w:r w:rsidR="007E50ED">
        <w:rPr>
          <w:b w:val="0"/>
          <w:sz w:val="36"/>
          <w:szCs w:val="36"/>
        </w:rPr>
        <w:t xml:space="preserve"> and Exit</w:t>
      </w:r>
      <w:r w:rsidR="00951238">
        <w:rPr>
          <w:b w:val="0"/>
          <w:sz w:val="36"/>
          <w:szCs w:val="36"/>
        </w:rPr>
        <w:br/>
      </w:r>
      <w:r w:rsidR="00074182">
        <w:rPr>
          <w:b w:val="0"/>
          <w:sz w:val="36"/>
          <w:szCs w:val="36"/>
        </w:rPr>
        <w:t>from the Forensic Disability Service</w:t>
      </w:r>
    </w:p>
    <w:p w14:paraId="3330D436" w14:textId="56379E34" w:rsidR="003D7D20" w:rsidRPr="00E855B8" w:rsidRDefault="003D7D20" w:rsidP="009F7262">
      <w:pPr>
        <w:pStyle w:val="Heading2"/>
      </w:pPr>
      <w:r w:rsidRPr="00E855B8">
        <w:t>Purpose</w:t>
      </w:r>
    </w:p>
    <w:p w14:paraId="0B97742B" w14:textId="77777777" w:rsidR="005308BC" w:rsidRDefault="005308BC" w:rsidP="007E50ED">
      <w:pPr>
        <w:spacing w:before="240"/>
        <w:contextualSpacing/>
        <w:jc w:val="both"/>
        <w:rPr>
          <w:rFonts w:eastAsia="Calibri" w:cs="Arial"/>
          <w:szCs w:val="22"/>
          <w:lang w:eastAsia="en-US"/>
        </w:rPr>
      </w:pPr>
      <w:r>
        <w:rPr>
          <w:rFonts w:eastAsia="Calibri" w:cs="Arial"/>
          <w:szCs w:val="22"/>
          <w:lang w:eastAsia="en-US"/>
        </w:rPr>
        <w:t xml:space="preserve">This procedure is issued by the Director of Forensic Disability in accordance with section 91 of the </w:t>
      </w:r>
      <w:r>
        <w:rPr>
          <w:rFonts w:eastAsia="Calibri" w:cs="Arial"/>
          <w:i/>
          <w:szCs w:val="22"/>
          <w:lang w:eastAsia="en-US"/>
        </w:rPr>
        <w:t xml:space="preserve">Forensic Disability Act 2011 </w:t>
      </w:r>
      <w:r>
        <w:rPr>
          <w:rFonts w:eastAsia="Calibri" w:cs="Arial"/>
          <w:szCs w:val="22"/>
          <w:lang w:eastAsia="en-US"/>
        </w:rPr>
        <w:t xml:space="preserve">(the Act). The procedure aims to provide guidance to staff of the Forensic Disability Service (FDS) in relation to the transfer of responsibility and exit of clients from the FDS. </w:t>
      </w:r>
    </w:p>
    <w:p w14:paraId="4C504AD2" w14:textId="77777777" w:rsidR="005308BC" w:rsidRDefault="005308BC" w:rsidP="007E50ED">
      <w:pPr>
        <w:spacing w:before="240"/>
        <w:contextualSpacing/>
        <w:jc w:val="both"/>
        <w:rPr>
          <w:rFonts w:eastAsia="Calibri" w:cs="Arial"/>
          <w:szCs w:val="22"/>
          <w:lang w:eastAsia="en-US"/>
        </w:rPr>
      </w:pPr>
    </w:p>
    <w:p w14:paraId="3F5332C8" w14:textId="77777777" w:rsidR="005308BC" w:rsidRDefault="005308BC" w:rsidP="007E50ED">
      <w:pPr>
        <w:spacing w:before="240"/>
        <w:contextualSpacing/>
        <w:jc w:val="both"/>
        <w:rPr>
          <w:rFonts w:eastAsia="Calibri" w:cs="Arial"/>
          <w:szCs w:val="22"/>
          <w:lang w:eastAsia="en-US"/>
        </w:rPr>
      </w:pPr>
      <w:r>
        <w:rPr>
          <w:rFonts w:eastAsia="Calibri" w:cs="Arial"/>
          <w:szCs w:val="22"/>
          <w:lang w:eastAsia="en-US"/>
        </w:rPr>
        <w:t>This procedure outlines:</w:t>
      </w:r>
    </w:p>
    <w:p w14:paraId="445065C1" w14:textId="77777777" w:rsidR="005308BC" w:rsidRPr="00E25741" w:rsidRDefault="005308BC" w:rsidP="007E50ED">
      <w:pPr>
        <w:pStyle w:val="ListParagraph"/>
        <w:numPr>
          <w:ilvl w:val="0"/>
          <w:numId w:val="29"/>
        </w:numPr>
        <w:jc w:val="both"/>
      </w:pPr>
      <w:r>
        <w:t xml:space="preserve">the process of </w:t>
      </w:r>
      <w:r w:rsidRPr="001024FA">
        <w:t>creating a Transfer Plan to support</w:t>
      </w:r>
      <w:r>
        <w:t xml:space="preserve"> a transfer of responsibility and exit of a client from the FDS;</w:t>
      </w:r>
      <w:r w:rsidRPr="00E25741">
        <w:t xml:space="preserve"> </w:t>
      </w:r>
    </w:p>
    <w:p w14:paraId="5B5C64AB" w14:textId="77777777" w:rsidR="005308BC" w:rsidRDefault="005308BC" w:rsidP="007E50ED">
      <w:pPr>
        <w:pStyle w:val="ListParagraph"/>
        <w:numPr>
          <w:ilvl w:val="0"/>
          <w:numId w:val="29"/>
        </w:numPr>
        <w:jc w:val="both"/>
      </w:pPr>
      <w:r w:rsidRPr="00DB0C3D">
        <w:t xml:space="preserve">the </w:t>
      </w:r>
      <w:r>
        <w:t>process of stakeholder engagement in the creation of a transfer plan; and</w:t>
      </w:r>
    </w:p>
    <w:p w14:paraId="028EDFDF" w14:textId="77777777" w:rsidR="005308BC" w:rsidRDefault="005308BC" w:rsidP="007E50ED">
      <w:pPr>
        <w:pStyle w:val="ListParagraph"/>
        <w:numPr>
          <w:ilvl w:val="0"/>
          <w:numId w:val="29"/>
        </w:numPr>
        <w:jc w:val="both"/>
      </w:pPr>
      <w:r>
        <w:t xml:space="preserve">the role of the </w:t>
      </w:r>
      <w:r w:rsidRPr="00DB0C3D">
        <w:t>Director of Forensic Disability</w:t>
      </w:r>
      <w:r>
        <w:t xml:space="preserve"> in the transfer of responsibility and exit of clients from the FDS.</w:t>
      </w:r>
    </w:p>
    <w:p w14:paraId="5C9A95C1" w14:textId="77777777" w:rsidR="005308BC" w:rsidRDefault="005308BC" w:rsidP="007E50ED">
      <w:pPr>
        <w:pStyle w:val="ListParagraph"/>
        <w:ind w:left="646"/>
        <w:jc w:val="both"/>
      </w:pPr>
    </w:p>
    <w:p w14:paraId="3249BCE5" w14:textId="77777777" w:rsidR="005308BC" w:rsidRDefault="005308BC" w:rsidP="007E50ED">
      <w:pPr>
        <w:suppressAutoHyphens/>
        <w:jc w:val="both"/>
        <w:rPr>
          <w:rFonts w:eastAsia="Calibri" w:cs="Arial"/>
          <w:szCs w:val="22"/>
          <w:lang w:eastAsia="en-US"/>
        </w:rPr>
      </w:pPr>
      <w:r>
        <w:rPr>
          <w:rFonts w:eastAsia="Calibri" w:cs="Arial"/>
          <w:szCs w:val="22"/>
          <w:lang w:eastAsia="en-US"/>
        </w:rPr>
        <w:t xml:space="preserve">This procedure is to be read in conjunction with the </w:t>
      </w:r>
      <w:r>
        <w:rPr>
          <w:rFonts w:eastAsia="Calibri" w:cs="Arial"/>
          <w:i/>
          <w:szCs w:val="22"/>
          <w:lang w:eastAsia="en-US"/>
        </w:rPr>
        <w:t>Director of Forensic Disability Policy – Transfer and Exit from the Forensic Disability Service.</w:t>
      </w:r>
    </w:p>
    <w:p w14:paraId="2923F806" w14:textId="77777777" w:rsidR="005308BC" w:rsidRPr="005308BC" w:rsidRDefault="005308BC" w:rsidP="007E50ED">
      <w:pPr>
        <w:jc w:val="both"/>
        <w:rPr>
          <w:rFonts w:eastAsia="Calibri"/>
          <w:b/>
          <w:sz w:val="24"/>
        </w:rPr>
      </w:pPr>
      <w:r w:rsidRPr="005308BC">
        <w:rPr>
          <w:rFonts w:eastAsia="Calibri"/>
          <w:b/>
          <w:sz w:val="24"/>
        </w:rPr>
        <w:t>Procedure</w:t>
      </w:r>
    </w:p>
    <w:p w14:paraId="63EEBCD1" w14:textId="7EC436D7" w:rsidR="005308BC" w:rsidRPr="00B97839" w:rsidRDefault="005308BC" w:rsidP="007E50ED">
      <w:pPr>
        <w:pStyle w:val="Heading2"/>
        <w:numPr>
          <w:ilvl w:val="0"/>
          <w:numId w:val="32"/>
        </w:numPr>
      </w:pPr>
      <w:r w:rsidRPr="00B97839">
        <w:t>Eligible for transfer</w:t>
      </w:r>
    </w:p>
    <w:p w14:paraId="58CE986F" w14:textId="5BD00951" w:rsidR="005308BC" w:rsidRDefault="005308BC" w:rsidP="007E50ED">
      <w:pPr>
        <w:suppressAutoHyphens/>
        <w:spacing w:after="200"/>
        <w:jc w:val="both"/>
        <w:rPr>
          <w:rFonts w:cs="Arial"/>
          <w:szCs w:val="22"/>
        </w:rPr>
      </w:pPr>
      <w:r>
        <w:rPr>
          <w:rFonts w:cs="Arial"/>
          <w:szCs w:val="22"/>
        </w:rPr>
        <w:t xml:space="preserve">When a client </w:t>
      </w:r>
      <w:r w:rsidRPr="001024FA">
        <w:rPr>
          <w:rFonts w:cs="Arial"/>
          <w:szCs w:val="22"/>
        </w:rPr>
        <w:t>has demonstrably benefitted from</w:t>
      </w:r>
      <w:r>
        <w:rPr>
          <w:rFonts w:cs="Arial"/>
          <w:szCs w:val="22"/>
        </w:rPr>
        <w:t xml:space="preserve"> the programs and services offered at the FDS</w:t>
      </w:r>
      <w:r w:rsidR="00AD7CD5">
        <w:rPr>
          <w:rFonts w:cs="Arial"/>
          <w:szCs w:val="22"/>
        </w:rPr>
        <w:t xml:space="preserve"> and/or progressing towards the completion of the programs and services at the FDS</w:t>
      </w:r>
      <w:r w:rsidR="009F7262">
        <w:rPr>
          <w:rFonts w:cs="Arial"/>
          <w:szCs w:val="22"/>
        </w:rPr>
        <w:t xml:space="preserve"> </w:t>
      </w:r>
      <w:r>
        <w:rPr>
          <w:rFonts w:cs="Arial"/>
          <w:szCs w:val="22"/>
        </w:rPr>
        <w:t xml:space="preserve">and the client is no longer considered an unacceptable risk to the community, the </w:t>
      </w:r>
      <w:r w:rsidR="00AD7CD5">
        <w:rPr>
          <w:rFonts w:cs="Arial"/>
          <w:szCs w:val="22"/>
        </w:rPr>
        <w:t>S</w:t>
      </w:r>
      <w:r>
        <w:rPr>
          <w:rFonts w:cs="Arial"/>
          <w:szCs w:val="22"/>
        </w:rPr>
        <w:t xml:space="preserve">enior </w:t>
      </w:r>
      <w:r w:rsidR="00AD7CD5">
        <w:rPr>
          <w:rFonts w:cs="Arial"/>
          <w:szCs w:val="22"/>
        </w:rPr>
        <w:t xml:space="preserve">Practitioner </w:t>
      </w:r>
      <w:r>
        <w:rPr>
          <w:rFonts w:cs="Arial"/>
          <w:szCs w:val="22"/>
        </w:rPr>
        <w:t xml:space="preserve">should commence planning the transfer of responsibility and exit of the client from the FDS to an Authorised Mental Health Service (AMHS) and the community. </w:t>
      </w:r>
    </w:p>
    <w:p w14:paraId="08BAB37E" w14:textId="594D197F" w:rsidR="005308BC" w:rsidRDefault="005308BC" w:rsidP="007E50ED">
      <w:pPr>
        <w:suppressAutoHyphens/>
        <w:spacing w:after="200"/>
        <w:jc w:val="both"/>
        <w:rPr>
          <w:rFonts w:cs="Arial"/>
          <w:szCs w:val="22"/>
        </w:rPr>
      </w:pPr>
      <w:r>
        <w:rPr>
          <w:rFonts w:cs="Arial"/>
          <w:szCs w:val="22"/>
        </w:rPr>
        <w:t xml:space="preserve">Alternatively, if the client has not benefitted from the programs and services at the FDS and is assessed as unlikely to in the future, the </w:t>
      </w:r>
      <w:r w:rsidR="00AD7CD5">
        <w:rPr>
          <w:rFonts w:cs="Arial"/>
          <w:szCs w:val="22"/>
        </w:rPr>
        <w:t>S</w:t>
      </w:r>
      <w:r>
        <w:rPr>
          <w:rFonts w:cs="Arial"/>
          <w:szCs w:val="22"/>
        </w:rPr>
        <w:t xml:space="preserve">enior </w:t>
      </w:r>
      <w:r w:rsidR="00AD7CD5">
        <w:rPr>
          <w:rFonts w:cs="Arial"/>
          <w:szCs w:val="22"/>
        </w:rPr>
        <w:t xml:space="preserve">Practitioner </w:t>
      </w:r>
      <w:r>
        <w:rPr>
          <w:rFonts w:cs="Arial"/>
          <w:szCs w:val="22"/>
        </w:rPr>
        <w:t xml:space="preserve">should provide evidence </w:t>
      </w:r>
      <w:r w:rsidRPr="009374EF">
        <w:rPr>
          <w:rFonts w:cs="Arial"/>
          <w:szCs w:val="22"/>
        </w:rPr>
        <w:t xml:space="preserve">to the Director of Forensic Disability </w:t>
      </w:r>
      <w:r>
        <w:rPr>
          <w:rFonts w:cs="Arial"/>
          <w:szCs w:val="22"/>
        </w:rPr>
        <w:t>as to why this may be the case. The Director will consider whether the FDS should progress planning for a transfer of responsibility and exit of the client from the FDS to an AMHS.</w:t>
      </w:r>
    </w:p>
    <w:p w14:paraId="644B4AD5" w14:textId="7DD7F5C6" w:rsidR="005308BC" w:rsidRDefault="005308BC" w:rsidP="009F7262">
      <w:pPr>
        <w:suppressAutoHyphens/>
        <w:jc w:val="both"/>
        <w:rPr>
          <w:rFonts w:cs="Arial"/>
          <w:b/>
          <w:szCs w:val="22"/>
        </w:rPr>
      </w:pPr>
      <w:r>
        <w:rPr>
          <w:rFonts w:cs="Arial"/>
          <w:szCs w:val="22"/>
        </w:rPr>
        <w:t xml:space="preserve">Planning for the transfer of responsibility and exit of the client from the FDS should take the </w:t>
      </w:r>
      <w:r w:rsidRPr="001024FA">
        <w:rPr>
          <w:rFonts w:cs="Arial"/>
          <w:szCs w:val="22"/>
        </w:rPr>
        <w:t xml:space="preserve">form of a </w:t>
      </w:r>
      <w:r w:rsidRPr="00B97839">
        <w:rPr>
          <w:rFonts w:cs="Arial"/>
          <w:szCs w:val="22"/>
        </w:rPr>
        <w:t>Transfer Plan.</w:t>
      </w:r>
    </w:p>
    <w:p w14:paraId="2DD6B8AB" w14:textId="6BD934E5" w:rsidR="005308BC" w:rsidRPr="005308BC" w:rsidRDefault="005308BC" w:rsidP="007E50ED">
      <w:pPr>
        <w:pStyle w:val="Heading2"/>
        <w:numPr>
          <w:ilvl w:val="0"/>
          <w:numId w:val="32"/>
        </w:numPr>
      </w:pPr>
      <w:r w:rsidRPr="005308BC">
        <w:lastRenderedPageBreak/>
        <w:t>Manner of Transfer</w:t>
      </w:r>
    </w:p>
    <w:p w14:paraId="21773DBB" w14:textId="77777777" w:rsidR="005308BC" w:rsidRPr="00D46755" w:rsidRDefault="005308BC" w:rsidP="007E50ED">
      <w:pPr>
        <w:suppressAutoHyphens/>
        <w:spacing w:after="200"/>
        <w:jc w:val="both"/>
        <w:rPr>
          <w:rFonts w:cs="Arial"/>
          <w:szCs w:val="22"/>
        </w:rPr>
      </w:pPr>
      <w:r w:rsidRPr="00D46755">
        <w:rPr>
          <w:rFonts w:cs="Arial"/>
        </w:rPr>
        <w:t>A</w:t>
      </w:r>
      <w:r>
        <w:rPr>
          <w:rFonts w:cs="Arial"/>
          <w:b/>
        </w:rPr>
        <w:t xml:space="preserve"> </w:t>
      </w:r>
      <w:r w:rsidRPr="00D46755">
        <w:rPr>
          <w:rFonts w:cs="Arial"/>
          <w:szCs w:val="22"/>
        </w:rPr>
        <w:t xml:space="preserve">client may be transferred from the FDS </w:t>
      </w:r>
      <w:r>
        <w:rPr>
          <w:rFonts w:cs="Arial"/>
          <w:szCs w:val="22"/>
        </w:rPr>
        <w:t xml:space="preserve">one of </w:t>
      </w:r>
      <w:r w:rsidRPr="00D46755">
        <w:rPr>
          <w:rFonts w:cs="Arial"/>
          <w:szCs w:val="22"/>
        </w:rPr>
        <w:t xml:space="preserve">two ways: </w:t>
      </w:r>
    </w:p>
    <w:p w14:paraId="7687FEF4" w14:textId="77777777" w:rsidR="005308BC" w:rsidRPr="005308BC" w:rsidRDefault="005308BC" w:rsidP="007E50ED">
      <w:pPr>
        <w:pStyle w:val="ListParagraph"/>
        <w:numPr>
          <w:ilvl w:val="0"/>
          <w:numId w:val="33"/>
        </w:numPr>
        <w:jc w:val="both"/>
      </w:pPr>
      <w:r w:rsidRPr="005308BC">
        <w:t>via agreement between the Director of Forensic Disability and the Chief Psychiatrist to transfer responsibility for the client to an AMHS (section 353 MHA); or</w:t>
      </w:r>
    </w:p>
    <w:p w14:paraId="50CF6EBB" w14:textId="57657C49" w:rsidR="005308BC" w:rsidRDefault="005308BC" w:rsidP="007E50ED">
      <w:pPr>
        <w:pStyle w:val="ListParagraph"/>
        <w:numPr>
          <w:ilvl w:val="0"/>
          <w:numId w:val="33"/>
        </w:numPr>
        <w:jc w:val="both"/>
      </w:pPr>
      <w:r w:rsidRPr="005308BC">
        <w:t>by order of the Mental Health Review Tribunal (MHRT) (section 456 MHA).</w:t>
      </w:r>
    </w:p>
    <w:p w14:paraId="36A356E6" w14:textId="22D3A3ED" w:rsidR="005308BC" w:rsidRPr="00B97839" w:rsidRDefault="005308BC" w:rsidP="007E50ED">
      <w:pPr>
        <w:pStyle w:val="Heading2"/>
        <w:numPr>
          <w:ilvl w:val="0"/>
          <w:numId w:val="32"/>
        </w:numPr>
      </w:pPr>
      <w:r w:rsidRPr="00B97839">
        <w:t>Purpose of Transfer Plan</w:t>
      </w:r>
    </w:p>
    <w:p w14:paraId="281D46B8" w14:textId="526CF2ED" w:rsidR="005308BC" w:rsidRDefault="005308BC" w:rsidP="007E50ED">
      <w:pPr>
        <w:suppressAutoHyphens/>
        <w:spacing w:before="120" w:after="200"/>
        <w:jc w:val="both"/>
        <w:rPr>
          <w:rFonts w:cs="Arial"/>
          <w:szCs w:val="22"/>
        </w:rPr>
      </w:pPr>
      <w:r>
        <w:rPr>
          <w:rFonts w:cs="Arial"/>
          <w:szCs w:val="22"/>
        </w:rPr>
        <w:t xml:space="preserve">The purpose of the Transfer </w:t>
      </w:r>
      <w:r w:rsidRPr="001024FA">
        <w:rPr>
          <w:rFonts w:cs="Arial"/>
          <w:szCs w:val="22"/>
        </w:rPr>
        <w:t>Plan is to demonstrate to the decision</w:t>
      </w:r>
      <w:r>
        <w:rPr>
          <w:rFonts w:cs="Arial"/>
          <w:szCs w:val="22"/>
        </w:rPr>
        <w:t xml:space="preserve"> maker/s (Director of Forensic Disability, Chief Psychiatrist or the </w:t>
      </w:r>
      <w:r w:rsidR="00520720">
        <w:rPr>
          <w:rFonts w:cs="Arial"/>
          <w:szCs w:val="22"/>
        </w:rPr>
        <w:t>MHRT</w:t>
      </w:r>
      <w:r>
        <w:rPr>
          <w:rFonts w:cs="Arial"/>
          <w:szCs w:val="22"/>
        </w:rPr>
        <w:t xml:space="preserve">) why FDS staff are seeking to transfer responsibility for the client from the FDS to an AMHS. </w:t>
      </w:r>
    </w:p>
    <w:p w14:paraId="062EC5A2" w14:textId="77777777" w:rsidR="005308BC" w:rsidRDefault="005308BC" w:rsidP="007E50ED">
      <w:pPr>
        <w:suppressAutoHyphens/>
        <w:spacing w:before="120" w:after="200"/>
        <w:jc w:val="both"/>
        <w:rPr>
          <w:rFonts w:cs="Arial"/>
          <w:szCs w:val="22"/>
        </w:rPr>
      </w:pPr>
      <w:r>
        <w:rPr>
          <w:rFonts w:cs="Arial"/>
          <w:szCs w:val="22"/>
        </w:rPr>
        <w:t xml:space="preserve">The Transfer Plan is a primary document upon which the decision maker will decide whether or not to approve a client’s transfer and exit from the FDS. </w:t>
      </w:r>
    </w:p>
    <w:p w14:paraId="6369300A" w14:textId="1CB03AC6" w:rsidR="005308BC" w:rsidRPr="00B97839" w:rsidRDefault="005308BC" w:rsidP="007E50ED">
      <w:pPr>
        <w:pStyle w:val="Heading2"/>
        <w:numPr>
          <w:ilvl w:val="0"/>
          <w:numId w:val="32"/>
        </w:numPr>
      </w:pPr>
      <w:r>
        <w:t>Background i</w:t>
      </w:r>
      <w:r w:rsidRPr="00B97839">
        <w:t>nformation</w:t>
      </w:r>
      <w:r>
        <w:t xml:space="preserve"> and </w:t>
      </w:r>
      <w:r w:rsidRPr="00B97839">
        <w:t>the Transfer Plan</w:t>
      </w:r>
    </w:p>
    <w:p w14:paraId="5564D9E1" w14:textId="306CD1AB" w:rsidR="005308BC" w:rsidRDefault="00AD7CD5" w:rsidP="007E50ED">
      <w:pPr>
        <w:suppressAutoHyphens/>
        <w:spacing w:before="120" w:after="200"/>
        <w:jc w:val="both"/>
        <w:rPr>
          <w:rFonts w:cs="Arial"/>
          <w:szCs w:val="22"/>
        </w:rPr>
      </w:pPr>
      <w:r>
        <w:rPr>
          <w:rFonts w:cs="Arial"/>
          <w:szCs w:val="22"/>
        </w:rPr>
        <w:t>The</w:t>
      </w:r>
      <w:r w:rsidR="005308BC">
        <w:rPr>
          <w:rFonts w:cs="Arial"/>
          <w:szCs w:val="22"/>
        </w:rPr>
        <w:t xml:space="preserve"> Transfer Plan should be informed by FDS documents such as, but not limited to, the:</w:t>
      </w:r>
    </w:p>
    <w:p w14:paraId="19077C4F" w14:textId="77777777" w:rsidR="005308BC" w:rsidRDefault="005308BC" w:rsidP="007E50ED">
      <w:pPr>
        <w:pStyle w:val="ListParagraph"/>
        <w:numPr>
          <w:ilvl w:val="0"/>
          <w:numId w:val="24"/>
        </w:numPr>
        <w:suppressAutoHyphens/>
        <w:spacing w:before="120" w:after="200"/>
        <w:jc w:val="both"/>
        <w:rPr>
          <w:rFonts w:cs="Arial"/>
          <w:szCs w:val="22"/>
        </w:rPr>
      </w:pPr>
      <w:r>
        <w:rPr>
          <w:rFonts w:cs="Arial"/>
          <w:szCs w:val="22"/>
        </w:rPr>
        <w:t>Individual Development Plan (IDP);</w:t>
      </w:r>
    </w:p>
    <w:p w14:paraId="4F38A7EF" w14:textId="6E0C6DD5" w:rsidR="005308BC" w:rsidRDefault="005308BC" w:rsidP="007E50ED">
      <w:pPr>
        <w:pStyle w:val="ListParagraph"/>
        <w:numPr>
          <w:ilvl w:val="0"/>
          <w:numId w:val="24"/>
        </w:numPr>
        <w:suppressAutoHyphens/>
        <w:spacing w:before="120" w:after="200"/>
        <w:jc w:val="both"/>
        <w:rPr>
          <w:rFonts w:cs="Arial"/>
          <w:szCs w:val="22"/>
        </w:rPr>
      </w:pPr>
      <w:r>
        <w:rPr>
          <w:rFonts w:cs="Arial"/>
          <w:szCs w:val="22"/>
        </w:rPr>
        <w:t xml:space="preserve">limited community treatment (LCT) </w:t>
      </w:r>
      <w:proofErr w:type="gramStart"/>
      <w:r>
        <w:rPr>
          <w:rFonts w:cs="Arial"/>
          <w:szCs w:val="22"/>
        </w:rPr>
        <w:t>record</w:t>
      </w:r>
      <w:r w:rsidR="00520720">
        <w:rPr>
          <w:rFonts w:cs="Arial"/>
          <w:szCs w:val="22"/>
        </w:rPr>
        <w:t>s</w:t>
      </w:r>
      <w:r>
        <w:rPr>
          <w:rFonts w:cs="Arial"/>
          <w:szCs w:val="22"/>
        </w:rPr>
        <w:t>;</w:t>
      </w:r>
      <w:proofErr w:type="gramEnd"/>
      <w:r>
        <w:rPr>
          <w:rFonts w:cs="Arial"/>
          <w:szCs w:val="22"/>
        </w:rPr>
        <w:t xml:space="preserve"> </w:t>
      </w:r>
    </w:p>
    <w:p w14:paraId="56D35D77" w14:textId="6DDE6FC0" w:rsidR="00E56470" w:rsidRDefault="005308BC" w:rsidP="007E50ED">
      <w:pPr>
        <w:pStyle w:val="ListParagraph"/>
        <w:numPr>
          <w:ilvl w:val="0"/>
          <w:numId w:val="24"/>
        </w:numPr>
        <w:suppressAutoHyphens/>
        <w:spacing w:before="120" w:after="200"/>
        <w:jc w:val="both"/>
        <w:rPr>
          <w:rFonts w:cs="Arial"/>
          <w:szCs w:val="22"/>
        </w:rPr>
      </w:pPr>
      <w:r>
        <w:rPr>
          <w:rFonts w:cs="Arial"/>
          <w:szCs w:val="22"/>
        </w:rPr>
        <w:t xml:space="preserve">current risk </w:t>
      </w:r>
      <w:proofErr w:type="gramStart"/>
      <w:r>
        <w:rPr>
          <w:rFonts w:cs="Arial"/>
          <w:szCs w:val="22"/>
        </w:rPr>
        <w:t>assessment</w:t>
      </w:r>
      <w:r w:rsidR="00D10BB5">
        <w:rPr>
          <w:rFonts w:cs="Arial"/>
          <w:szCs w:val="22"/>
        </w:rPr>
        <w:t>;</w:t>
      </w:r>
      <w:proofErr w:type="gramEnd"/>
    </w:p>
    <w:p w14:paraId="4D0532E5" w14:textId="5AE09E9A" w:rsidR="00E56470" w:rsidRDefault="00E56470" w:rsidP="007E50ED">
      <w:pPr>
        <w:pStyle w:val="ListParagraph"/>
        <w:numPr>
          <w:ilvl w:val="0"/>
          <w:numId w:val="24"/>
        </w:numPr>
        <w:suppressAutoHyphens/>
        <w:spacing w:before="120" w:after="200"/>
        <w:jc w:val="both"/>
        <w:rPr>
          <w:rFonts w:cs="Arial"/>
          <w:szCs w:val="22"/>
        </w:rPr>
      </w:pPr>
      <w:r>
        <w:rPr>
          <w:rFonts w:cs="Arial"/>
          <w:szCs w:val="22"/>
        </w:rPr>
        <w:t>program outcome reports</w:t>
      </w:r>
      <w:r w:rsidR="00D10BB5">
        <w:rPr>
          <w:rFonts w:cs="Arial"/>
          <w:szCs w:val="22"/>
        </w:rPr>
        <w:t>; and</w:t>
      </w:r>
    </w:p>
    <w:p w14:paraId="4B8F4F5E" w14:textId="77A2C0CA" w:rsidR="005308BC" w:rsidRPr="00B97839" w:rsidRDefault="00E56470" w:rsidP="007E50ED">
      <w:pPr>
        <w:pStyle w:val="ListParagraph"/>
        <w:numPr>
          <w:ilvl w:val="0"/>
          <w:numId w:val="24"/>
        </w:numPr>
        <w:suppressAutoHyphens/>
        <w:spacing w:before="120" w:after="200"/>
        <w:jc w:val="both"/>
        <w:rPr>
          <w:rFonts w:cs="Arial"/>
          <w:szCs w:val="22"/>
        </w:rPr>
      </w:pPr>
      <w:r>
        <w:rPr>
          <w:rFonts w:cs="Arial"/>
          <w:szCs w:val="22"/>
        </w:rPr>
        <w:t>BIR data collection</w:t>
      </w:r>
      <w:r w:rsidR="005308BC">
        <w:rPr>
          <w:rFonts w:cs="Arial"/>
          <w:szCs w:val="22"/>
        </w:rPr>
        <w:t>.</w:t>
      </w:r>
    </w:p>
    <w:p w14:paraId="53E4B74B" w14:textId="0038898B" w:rsidR="005308BC" w:rsidRDefault="005308BC" w:rsidP="007E50ED">
      <w:pPr>
        <w:pStyle w:val="Heading3"/>
        <w:numPr>
          <w:ilvl w:val="1"/>
          <w:numId w:val="32"/>
        </w:numPr>
      </w:pPr>
      <w:r>
        <w:t>I</w:t>
      </w:r>
      <w:r w:rsidR="007E50ED">
        <w:t>ndividual Development Plan</w:t>
      </w:r>
    </w:p>
    <w:p w14:paraId="0858928A" w14:textId="365CC39B" w:rsidR="005308BC" w:rsidRPr="001024FA" w:rsidRDefault="005308BC" w:rsidP="007E50ED">
      <w:pPr>
        <w:jc w:val="both"/>
        <w:rPr>
          <w:rFonts w:cs="Arial"/>
          <w:szCs w:val="22"/>
        </w:rPr>
      </w:pPr>
      <w:r>
        <w:rPr>
          <w:rFonts w:cs="Arial"/>
          <w:szCs w:val="22"/>
        </w:rPr>
        <w:t xml:space="preserve">The IDP </w:t>
      </w:r>
      <w:r w:rsidRPr="001024FA">
        <w:rPr>
          <w:rFonts w:cs="Arial"/>
          <w:szCs w:val="22"/>
        </w:rPr>
        <w:t xml:space="preserve">is a document that is dynamic in nature, and </w:t>
      </w:r>
      <w:r w:rsidRPr="001024FA">
        <w:rPr>
          <w:rFonts w:eastAsia="Calibri" w:cs="Arial"/>
          <w:szCs w:val="22"/>
          <w:lang w:eastAsia="en-US"/>
        </w:rPr>
        <w:t xml:space="preserve">regular IDP reviews occur </w:t>
      </w:r>
      <w:proofErr w:type="gramStart"/>
      <w:r w:rsidRPr="001024FA">
        <w:rPr>
          <w:rFonts w:eastAsia="Calibri" w:cs="Arial"/>
          <w:szCs w:val="22"/>
          <w:lang w:eastAsia="en-US"/>
        </w:rPr>
        <w:t>in order to</w:t>
      </w:r>
      <w:proofErr w:type="gramEnd"/>
      <w:r w:rsidRPr="001024FA">
        <w:rPr>
          <w:rFonts w:eastAsia="Calibri" w:cs="Arial"/>
          <w:szCs w:val="22"/>
          <w:lang w:eastAsia="en-US"/>
        </w:rPr>
        <w:t xml:space="preserve"> </w:t>
      </w:r>
      <w:r w:rsidRPr="00B97839">
        <w:rPr>
          <w:rFonts w:eastAsia="Calibri" w:cs="Arial"/>
          <w:szCs w:val="22"/>
          <w:lang w:eastAsia="en-US"/>
        </w:rPr>
        <w:t>assess and record</w:t>
      </w:r>
      <w:r w:rsidRPr="001024FA">
        <w:rPr>
          <w:rFonts w:eastAsia="Calibri" w:cs="Arial"/>
          <w:szCs w:val="22"/>
          <w:lang w:eastAsia="en-US"/>
        </w:rPr>
        <w:t xml:space="preserve"> a client’s progress and to </w:t>
      </w:r>
      <w:r w:rsidRPr="001024FA">
        <w:rPr>
          <w:rFonts w:cs="Arial"/>
          <w:szCs w:val="22"/>
        </w:rPr>
        <w:t>ensure the client is continuing to benefit from the programs and services provided by the FDS (</w:t>
      </w:r>
      <w:r w:rsidRPr="001024FA">
        <w:rPr>
          <w:rFonts w:cs="Arial"/>
          <w:szCs w:val="22"/>
          <w:lang w:val="en-US"/>
        </w:rPr>
        <w:t xml:space="preserve">refer to </w:t>
      </w:r>
      <w:r w:rsidRPr="001024FA">
        <w:rPr>
          <w:rFonts w:cs="Arial"/>
          <w:i/>
          <w:szCs w:val="22"/>
          <w:lang w:val="en-US"/>
        </w:rPr>
        <w:t xml:space="preserve">Director of Forensic Disability Policy - </w:t>
      </w:r>
      <w:r w:rsidRPr="001024FA">
        <w:rPr>
          <w:i/>
          <w:szCs w:val="22"/>
        </w:rPr>
        <w:t>Individual Development Plans)</w:t>
      </w:r>
      <w:r w:rsidRPr="001024FA">
        <w:rPr>
          <w:rFonts w:cs="Arial"/>
          <w:szCs w:val="22"/>
        </w:rPr>
        <w:t>.</w:t>
      </w:r>
    </w:p>
    <w:p w14:paraId="29472EE4" w14:textId="1B087AA1" w:rsidR="007E50ED" w:rsidRDefault="005308BC" w:rsidP="007E50ED">
      <w:pPr>
        <w:suppressAutoHyphens/>
        <w:spacing w:before="120" w:after="200"/>
        <w:jc w:val="both"/>
        <w:rPr>
          <w:rFonts w:cs="Arial"/>
          <w:szCs w:val="22"/>
        </w:rPr>
      </w:pPr>
      <w:r w:rsidRPr="001024FA">
        <w:rPr>
          <w:rFonts w:cs="Arial"/>
          <w:szCs w:val="22"/>
        </w:rPr>
        <w:t>The IDP and the progress shown therein, is a form of demonstra</w:t>
      </w:r>
      <w:r w:rsidRPr="00B97839">
        <w:rPr>
          <w:rFonts w:cs="Arial"/>
          <w:szCs w:val="22"/>
        </w:rPr>
        <w:t xml:space="preserve">ble evidence </w:t>
      </w:r>
      <w:r w:rsidRPr="001024FA">
        <w:rPr>
          <w:rFonts w:cs="Arial"/>
          <w:szCs w:val="22"/>
        </w:rPr>
        <w:t xml:space="preserve">indicating whether the client is ready to exit the FDS. Accordingly, any conclusions contained in the </w:t>
      </w:r>
      <w:r w:rsidRPr="00B97839">
        <w:rPr>
          <w:rFonts w:cs="Arial"/>
          <w:szCs w:val="22"/>
        </w:rPr>
        <w:t>Transfer Plan</w:t>
      </w:r>
      <w:r w:rsidRPr="001024FA">
        <w:rPr>
          <w:rFonts w:cs="Arial"/>
          <w:szCs w:val="22"/>
        </w:rPr>
        <w:t xml:space="preserve"> about the client’s progress and readiness to exit the FDS should be consistent with, and supported by, conclusions contained</w:t>
      </w:r>
      <w:r>
        <w:rPr>
          <w:rFonts w:cs="Arial"/>
          <w:szCs w:val="22"/>
        </w:rPr>
        <w:t xml:space="preserve"> in the IDP</w:t>
      </w:r>
      <w:r w:rsidR="00FC5717">
        <w:rPr>
          <w:rFonts w:cs="Arial"/>
          <w:szCs w:val="22"/>
        </w:rPr>
        <w:t>.</w:t>
      </w:r>
    </w:p>
    <w:p w14:paraId="35F5273F" w14:textId="626C830E" w:rsidR="005308BC" w:rsidRPr="00FC5717" w:rsidRDefault="005308BC" w:rsidP="009F7262">
      <w:pPr>
        <w:pStyle w:val="Heading3"/>
        <w:numPr>
          <w:ilvl w:val="1"/>
          <w:numId w:val="32"/>
        </w:numPr>
      </w:pPr>
      <w:r w:rsidRPr="00FC5717">
        <w:t>LCT record</w:t>
      </w:r>
      <w:r w:rsidR="0058466C">
        <w:t>s</w:t>
      </w:r>
    </w:p>
    <w:p w14:paraId="18EF78E0" w14:textId="4528267D" w:rsidR="005308BC" w:rsidRDefault="005308BC" w:rsidP="007E50ED">
      <w:pPr>
        <w:suppressAutoHyphens/>
        <w:spacing w:before="120" w:after="200"/>
        <w:jc w:val="both"/>
        <w:rPr>
          <w:rFonts w:cs="Arial"/>
          <w:szCs w:val="22"/>
        </w:rPr>
      </w:pPr>
      <w:r>
        <w:rPr>
          <w:rFonts w:cs="Arial"/>
          <w:szCs w:val="22"/>
        </w:rPr>
        <w:t xml:space="preserve">Under section 20 of the </w:t>
      </w:r>
      <w:r w:rsidRPr="00B97839">
        <w:rPr>
          <w:rFonts w:cs="Arial"/>
          <w:szCs w:val="22"/>
        </w:rPr>
        <w:t>Act</w:t>
      </w:r>
      <w:r>
        <w:rPr>
          <w:rFonts w:cs="Arial"/>
          <w:szCs w:val="22"/>
        </w:rPr>
        <w:t>,</w:t>
      </w:r>
      <w:r w:rsidRPr="00DA1E23">
        <w:rPr>
          <w:rFonts w:cs="Arial"/>
          <w:i/>
          <w:szCs w:val="22"/>
        </w:rPr>
        <w:t xml:space="preserve"> </w:t>
      </w:r>
      <w:r>
        <w:rPr>
          <w:rFonts w:cs="Arial"/>
          <w:szCs w:val="22"/>
        </w:rPr>
        <w:t xml:space="preserve">the purpose of LCT is to support the client’s rehabilitation by transitioning the client to living in the community with appropriate care and support. Accordingly, the use of LCT and the client’s response to LCT events is an integral component when assessing a client’s progress whilst at the FDS </w:t>
      </w:r>
      <w:r w:rsidR="007E50ED">
        <w:rPr>
          <w:rFonts w:cs="Arial"/>
          <w:szCs w:val="22"/>
          <w:lang w:val="en-US"/>
        </w:rPr>
        <w:t xml:space="preserve">(refer to </w:t>
      </w:r>
      <w:r w:rsidRPr="002107E7">
        <w:rPr>
          <w:rFonts w:cs="Arial"/>
          <w:bCs/>
          <w:i/>
          <w:szCs w:val="22"/>
        </w:rPr>
        <w:t>Director of Forensic Disability Po</w:t>
      </w:r>
      <w:r w:rsidR="007E50ED">
        <w:rPr>
          <w:rFonts w:cs="Arial"/>
          <w:bCs/>
          <w:i/>
          <w:szCs w:val="22"/>
        </w:rPr>
        <w:t>licy – Community Treatment and Other L</w:t>
      </w:r>
      <w:r w:rsidRPr="002107E7">
        <w:rPr>
          <w:rFonts w:cs="Arial"/>
          <w:bCs/>
          <w:i/>
          <w:szCs w:val="22"/>
        </w:rPr>
        <w:t>eave</w:t>
      </w:r>
      <w:r>
        <w:rPr>
          <w:rFonts w:cs="Arial"/>
          <w:bCs/>
          <w:szCs w:val="22"/>
        </w:rPr>
        <w:t>).</w:t>
      </w:r>
      <w:r>
        <w:rPr>
          <w:rFonts w:cs="Arial"/>
          <w:szCs w:val="22"/>
        </w:rPr>
        <w:t xml:space="preserve"> </w:t>
      </w:r>
    </w:p>
    <w:p w14:paraId="35FCECD0" w14:textId="7E5822EE" w:rsidR="005308BC" w:rsidRPr="00B97839" w:rsidRDefault="00E56470" w:rsidP="007E50ED">
      <w:pPr>
        <w:suppressAutoHyphens/>
        <w:spacing w:before="120" w:after="200"/>
        <w:jc w:val="both"/>
        <w:rPr>
          <w:rFonts w:cs="Arial"/>
          <w:szCs w:val="22"/>
          <w:lang w:val="en-US"/>
        </w:rPr>
      </w:pPr>
      <w:r w:rsidRPr="00E56470">
        <w:rPr>
          <w:rFonts w:cs="Arial"/>
          <w:szCs w:val="22"/>
          <w:lang w:val="en-US"/>
        </w:rPr>
        <w:t xml:space="preserve">LCT data should be collated and analysed, including the number and nature of LCT events, and the client’s response to LCT, to inform the transfer plan </w:t>
      </w:r>
      <w:r w:rsidR="005308BC">
        <w:rPr>
          <w:rFonts w:cs="Arial"/>
          <w:szCs w:val="22"/>
        </w:rPr>
        <w:t>The Transfer Plan must contain reference to the client’s use of and response to LCT and information about any risk management strategies required when on LCT.</w:t>
      </w:r>
    </w:p>
    <w:p w14:paraId="4315AD52" w14:textId="319FE131" w:rsidR="005308BC" w:rsidRPr="00A2202C" w:rsidRDefault="005308BC" w:rsidP="007E50ED">
      <w:pPr>
        <w:pStyle w:val="Heading3"/>
        <w:numPr>
          <w:ilvl w:val="1"/>
          <w:numId w:val="32"/>
        </w:numPr>
      </w:pPr>
      <w:r w:rsidRPr="00B97839">
        <w:lastRenderedPageBreak/>
        <w:t>Risk assessment</w:t>
      </w:r>
    </w:p>
    <w:p w14:paraId="31A700C0" w14:textId="1640EF16" w:rsidR="005308BC" w:rsidRDefault="005308BC" w:rsidP="007E50ED">
      <w:pPr>
        <w:suppressAutoHyphens/>
        <w:spacing w:before="120" w:after="200"/>
        <w:jc w:val="both"/>
        <w:rPr>
          <w:rFonts w:cs="Arial"/>
          <w:szCs w:val="22"/>
        </w:rPr>
      </w:pPr>
      <w:r>
        <w:rPr>
          <w:rFonts w:cs="Arial"/>
          <w:szCs w:val="22"/>
        </w:rPr>
        <w:t xml:space="preserve">The Transfer Plan must contain information outlining the current risk and protective factors of the client. The information </w:t>
      </w:r>
      <w:r w:rsidR="00237370">
        <w:rPr>
          <w:rFonts w:cs="Arial"/>
          <w:szCs w:val="22"/>
        </w:rPr>
        <w:t xml:space="preserve">should </w:t>
      </w:r>
      <w:r>
        <w:rPr>
          <w:rFonts w:cs="Arial"/>
          <w:szCs w:val="22"/>
        </w:rPr>
        <w:t xml:space="preserve">be based on current risk assessment and, where necessary, be supported by demonstrable evidence. </w:t>
      </w:r>
    </w:p>
    <w:p w14:paraId="6ED4970B" w14:textId="00390AB9" w:rsidR="005308BC" w:rsidRPr="00B97839" w:rsidRDefault="005308BC" w:rsidP="007E50ED">
      <w:pPr>
        <w:pStyle w:val="Heading3"/>
        <w:numPr>
          <w:ilvl w:val="1"/>
          <w:numId w:val="32"/>
        </w:numPr>
      </w:pPr>
      <w:r w:rsidRPr="00B97839">
        <w:t xml:space="preserve">Other </w:t>
      </w:r>
      <w:r>
        <w:t>d</w:t>
      </w:r>
      <w:r w:rsidRPr="00B97839">
        <w:t>ocuments</w:t>
      </w:r>
    </w:p>
    <w:p w14:paraId="6CB38445" w14:textId="77777777" w:rsidR="005308BC" w:rsidRDefault="005308BC" w:rsidP="007E50ED">
      <w:pPr>
        <w:suppressAutoHyphens/>
        <w:spacing w:before="120" w:after="200"/>
        <w:jc w:val="both"/>
        <w:rPr>
          <w:rFonts w:cs="Arial"/>
          <w:szCs w:val="22"/>
        </w:rPr>
      </w:pPr>
      <w:r>
        <w:rPr>
          <w:rFonts w:cs="Arial"/>
          <w:szCs w:val="22"/>
        </w:rPr>
        <w:t xml:space="preserve">There will be other FDS documents that may or may not be relevant to informing a client’s Transfer Plan. FDS staff should assess each document on a case by case basis to determine its relevancy to the Transfer Plan. </w:t>
      </w:r>
    </w:p>
    <w:p w14:paraId="3DE62DE6" w14:textId="77777777" w:rsidR="005308BC" w:rsidRDefault="005308BC" w:rsidP="007E50ED">
      <w:pPr>
        <w:suppressAutoHyphens/>
        <w:jc w:val="both"/>
        <w:rPr>
          <w:rFonts w:cs="Arial"/>
          <w:szCs w:val="22"/>
        </w:rPr>
      </w:pPr>
      <w:r>
        <w:rPr>
          <w:rFonts w:cs="Arial"/>
          <w:szCs w:val="22"/>
        </w:rPr>
        <w:t xml:space="preserve">If an FDS staff member is unsure as to the relevancy of a document, they should consult the Senior Practitioner and act in accordance with the Senior Practitioner’s advice. </w:t>
      </w:r>
    </w:p>
    <w:p w14:paraId="1AE351C8" w14:textId="2CF61E1F" w:rsidR="005308BC" w:rsidRDefault="005308BC" w:rsidP="007E50ED">
      <w:pPr>
        <w:pStyle w:val="Heading2"/>
        <w:numPr>
          <w:ilvl w:val="0"/>
          <w:numId w:val="32"/>
        </w:numPr>
      </w:pPr>
      <w:r>
        <w:t>C</w:t>
      </w:r>
      <w:r w:rsidR="007E50ED">
        <w:t>ontent of Transfer Plan</w:t>
      </w:r>
    </w:p>
    <w:p w14:paraId="1DC5365B" w14:textId="77777777" w:rsidR="005308BC" w:rsidRDefault="005308BC" w:rsidP="007E50ED">
      <w:pPr>
        <w:suppressAutoHyphens/>
        <w:jc w:val="both"/>
        <w:rPr>
          <w:rFonts w:cs="Arial"/>
          <w:szCs w:val="22"/>
        </w:rPr>
      </w:pPr>
      <w:r>
        <w:rPr>
          <w:rFonts w:cs="Arial"/>
          <w:szCs w:val="22"/>
        </w:rPr>
        <w:t xml:space="preserve">A Transfer Plan should contain sufficient detail to enable the decision maker/s to make an informed decision about whether or not it is appropriate for responsibility for the client to be transferred to an AMHS and for the client to exit the FDS. Accordingly, the Transfer Plan should provide the decision maker/s with, but is not limited to, the following information: </w:t>
      </w:r>
    </w:p>
    <w:p w14:paraId="22C6B3EE" w14:textId="77777777" w:rsidR="005308BC" w:rsidRDefault="005308BC" w:rsidP="007E50ED">
      <w:pPr>
        <w:pStyle w:val="ListParagraph"/>
        <w:numPr>
          <w:ilvl w:val="0"/>
          <w:numId w:val="25"/>
        </w:numPr>
        <w:spacing w:after="60"/>
        <w:jc w:val="both"/>
        <w:rPr>
          <w:rFonts w:cs="Arial"/>
          <w:b/>
          <w:szCs w:val="22"/>
        </w:rPr>
      </w:pPr>
      <w:r>
        <w:rPr>
          <w:rFonts w:cs="Arial"/>
          <w:b/>
          <w:szCs w:val="22"/>
        </w:rPr>
        <w:t>Stakeholders</w:t>
      </w:r>
    </w:p>
    <w:p w14:paraId="3BF17858" w14:textId="77777777" w:rsidR="005308BC" w:rsidRPr="00B97839" w:rsidRDefault="005308BC" w:rsidP="007E50ED">
      <w:pPr>
        <w:pStyle w:val="ListParagraph"/>
        <w:numPr>
          <w:ilvl w:val="0"/>
          <w:numId w:val="34"/>
        </w:numPr>
        <w:spacing w:after="60"/>
        <w:jc w:val="both"/>
        <w:rPr>
          <w:rFonts w:cs="Arial"/>
          <w:szCs w:val="22"/>
        </w:rPr>
      </w:pPr>
      <w:r>
        <w:rPr>
          <w:rFonts w:cs="Arial"/>
          <w:szCs w:val="22"/>
        </w:rPr>
        <w:t>the client’s name, date of birth and intellectual disability;</w:t>
      </w:r>
    </w:p>
    <w:p w14:paraId="39A29B5D" w14:textId="77777777" w:rsidR="005308BC" w:rsidRPr="00B97839" w:rsidRDefault="005308BC" w:rsidP="007E50ED">
      <w:pPr>
        <w:pStyle w:val="ListParagraph"/>
        <w:numPr>
          <w:ilvl w:val="0"/>
          <w:numId w:val="34"/>
        </w:numPr>
        <w:spacing w:after="60"/>
        <w:jc w:val="both"/>
        <w:rPr>
          <w:rFonts w:cs="Arial"/>
          <w:szCs w:val="22"/>
        </w:rPr>
      </w:pPr>
      <w:r>
        <w:rPr>
          <w:rFonts w:cs="Arial"/>
          <w:szCs w:val="22"/>
        </w:rPr>
        <w:t>n</w:t>
      </w:r>
      <w:r w:rsidRPr="00B97839">
        <w:rPr>
          <w:rFonts w:cs="Arial"/>
          <w:szCs w:val="22"/>
        </w:rPr>
        <w:t>ames of stakeholders;</w:t>
      </w:r>
      <w:r>
        <w:rPr>
          <w:rFonts w:cs="Arial"/>
          <w:szCs w:val="22"/>
        </w:rPr>
        <w:t xml:space="preserve"> and</w:t>
      </w:r>
    </w:p>
    <w:p w14:paraId="2E2F1EFF" w14:textId="42CB1A79" w:rsidR="005308BC" w:rsidRDefault="005308BC" w:rsidP="00576DAC">
      <w:pPr>
        <w:pStyle w:val="ListParagraph"/>
        <w:numPr>
          <w:ilvl w:val="0"/>
          <w:numId w:val="34"/>
        </w:numPr>
        <w:spacing w:after="120"/>
        <w:ind w:left="1009" w:hanging="363"/>
        <w:jc w:val="both"/>
        <w:rPr>
          <w:rFonts w:cs="Arial"/>
          <w:szCs w:val="22"/>
        </w:rPr>
      </w:pPr>
      <w:r w:rsidRPr="00D25D2B">
        <w:rPr>
          <w:rFonts w:cs="Arial"/>
          <w:szCs w:val="22"/>
        </w:rPr>
        <w:t>o</w:t>
      </w:r>
      <w:r w:rsidRPr="00B97839">
        <w:rPr>
          <w:rFonts w:cs="Arial"/>
          <w:szCs w:val="22"/>
        </w:rPr>
        <w:t>rgani</w:t>
      </w:r>
      <w:r w:rsidR="00A0662B">
        <w:rPr>
          <w:rFonts w:cs="Arial"/>
          <w:szCs w:val="22"/>
        </w:rPr>
        <w:t>s</w:t>
      </w:r>
      <w:r w:rsidRPr="00B97839">
        <w:rPr>
          <w:rFonts w:cs="Arial"/>
          <w:szCs w:val="22"/>
        </w:rPr>
        <w:t>ation represented by stakeholder</w:t>
      </w:r>
      <w:r w:rsidRPr="00D25D2B">
        <w:rPr>
          <w:rFonts w:cs="Arial"/>
          <w:szCs w:val="22"/>
        </w:rPr>
        <w:t>;</w:t>
      </w:r>
      <w:r w:rsidRPr="00B97839">
        <w:rPr>
          <w:rFonts w:cs="Arial"/>
          <w:szCs w:val="22"/>
        </w:rPr>
        <w:t xml:space="preserve"> or capacity in which</w:t>
      </w:r>
      <w:r>
        <w:rPr>
          <w:rFonts w:cs="Arial"/>
          <w:szCs w:val="22"/>
        </w:rPr>
        <w:t xml:space="preserve"> the</w:t>
      </w:r>
      <w:r w:rsidRPr="00B97839">
        <w:rPr>
          <w:rFonts w:cs="Arial"/>
          <w:szCs w:val="22"/>
        </w:rPr>
        <w:t xml:space="preserve"> stakeholder acts.</w:t>
      </w:r>
    </w:p>
    <w:p w14:paraId="04C376A4" w14:textId="77777777" w:rsidR="00576DAC" w:rsidRPr="00B97839" w:rsidRDefault="00576DAC" w:rsidP="00576DAC">
      <w:pPr>
        <w:pStyle w:val="ListParagraph"/>
        <w:spacing w:after="120"/>
        <w:ind w:left="1009"/>
        <w:jc w:val="both"/>
        <w:rPr>
          <w:rFonts w:cs="Arial"/>
          <w:szCs w:val="22"/>
        </w:rPr>
      </w:pPr>
    </w:p>
    <w:p w14:paraId="7ABE2B34" w14:textId="77777777" w:rsidR="005308BC" w:rsidRPr="00B97839" w:rsidRDefault="005308BC" w:rsidP="00576DAC">
      <w:pPr>
        <w:pStyle w:val="ListParagraph"/>
        <w:numPr>
          <w:ilvl w:val="0"/>
          <w:numId w:val="25"/>
        </w:numPr>
        <w:spacing w:before="120" w:after="60"/>
        <w:ind w:left="647" w:hanging="363"/>
        <w:jc w:val="both"/>
        <w:rPr>
          <w:rFonts w:cs="Arial"/>
          <w:b/>
          <w:szCs w:val="22"/>
        </w:rPr>
      </w:pPr>
      <w:r w:rsidRPr="00B97839">
        <w:rPr>
          <w:rFonts w:cs="Arial"/>
          <w:b/>
          <w:szCs w:val="22"/>
        </w:rPr>
        <w:t>Progress made whilst at FDS</w:t>
      </w:r>
    </w:p>
    <w:p w14:paraId="6C8C57F5" w14:textId="77777777" w:rsidR="005308BC" w:rsidRDefault="005308BC" w:rsidP="007E50ED">
      <w:pPr>
        <w:pStyle w:val="ListParagraph"/>
        <w:numPr>
          <w:ilvl w:val="0"/>
          <w:numId w:val="35"/>
        </w:numPr>
        <w:spacing w:after="60"/>
        <w:jc w:val="both"/>
        <w:rPr>
          <w:rFonts w:cs="Arial"/>
          <w:szCs w:val="22"/>
        </w:rPr>
      </w:pPr>
      <w:r>
        <w:rPr>
          <w:rFonts w:cs="Arial"/>
          <w:szCs w:val="22"/>
        </w:rPr>
        <w:t>the date the client was admitted to the FDS;</w:t>
      </w:r>
    </w:p>
    <w:p w14:paraId="5F174BC3" w14:textId="77777777" w:rsidR="005308BC" w:rsidRDefault="005308BC" w:rsidP="007E50ED">
      <w:pPr>
        <w:pStyle w:val="ListParagraph"/>
        <w:numPr>
          <w:ilvl w:val="0"/>
          <w:numId w:val="35"/>
        </w:numPr>
        <w:spacing w:after="60"/>
        <w:jc w:val="both"/>
        <w:rPr>
          <w:rFonts w:cs="Arial"/>
          <w:szCs w:val="22"/>
        </w:rPr>
      </w:pPr>
      <w:r w:rsidRPr="00D46755">
        <w:rPr>
          <w:rFonts w:cs="Arial"/>
          <w:szCs w:val="22"/>
        </w:rPr>
        <w:t xml:space="preserve">the rehabilitative and habilitative programs </w:t>
      </w:r>
      <w:r>
        <w:rPr>
          <w:rFonts w:cs="Arial"/>
          <w:szCs w:val="22"/>
        </w:rPr>
        <w:t>undertaken by the client;</w:t>
      </w:r>
    </w:p>
    <w:p w14:paraId="1BC25820" w14:textId="201BB0B4" w:rsidR="005308BC" w:rsidRDefault="00A07AD7" w:rsidP="007E50ED">
      <w:pPr>
        <w:pStyle w:val="ListParagraph"/>
        <w:numPr>
          <w:ilvl w:val="0"/>
          <w:numId w:val="35"/>
        </w:numPr>
        <w:spacing w:after="60"/>
        <w:jc w:val="both"/>
        <w:rPr>
          <w:rFonts w:cs="Arial"/>
          <w:szCs w:val="22"/>
        </w:rPr>
      </w:pPr>
      <w:r>
        <w:rPr>
          <w:rFonts w:cs="Arial"/>
          <w:szCs w:val="22"/>
        </w:rPr>
        <w:t>details from program outcome or completion reports</w:t>
      </w:r>
      <w:r w:rsidR="005308BC">
        <w:rPr>
          <w:rFonts w:cs="Arial"/>
          <w:szCs w:val="22"/>
        </w:rPr>
        <w:t xml:space="preserve">; </w:t>
      </w:r>
    </w:p>
    <w:p w14:paraId="7A2DB716" w14:textId="595FBE1F" w:rsidR="005308BC" w:rsidRPr="009F7262" w:rsidRDefault="00A07AD7" w:rsidP="009F7262">
      <w:pPr>
        <w:pStyle w:val="ListParagraph"/>
        <w:numPr>
          <w:ilvl w:val="0"/>
          <w:numId w:val="35"/>
        </w:numPr>
        <w:spacing w:after="60"/>
        <w:jc w:val="both"/>
        <w:rPr>
          <w:rFonts w:cs="Arial"/>
          <w:szCs w:val="22"/>
        </w:rPr>
      </w:pPr>
      <w:r>
        <w:rPr>
          <w:rFonts w:cs="Arial"/>
          <w:szCs w:val="22"/>
        </w:rPr>
        <w:t xml:space="preserve">the overall </w:t>
      </w:r>
      <w:r w:rsidR="005308BC">
        <w:rPr>
          <w:rFonts w:cs="Arial"/>
          <w:szCs w:val="22"/>
        </w:rPr>
        <w:t>benefit/improvement the client has obtained from the support provided and their participation in programs at the FDS (e.g. observed behavio</w:t>
      </w:r>
      <w:r w:rsidR="007E50ED">
        <w:rPr>
          <w:rFonts w:cs="Arial"/>
          <w:szCs w:val="22"/>
        </w:rPr>
        <w:t>u</w:t>
      </w:r>
      <w:r w:rsidR="005308BC">
        <w:rPr>
          <w:rFonts w:cs="Arial"/>
          <w:szCs w:val="22"/>
        </w:rPr>
        <w:t>ral changes; use of learnt skills and knowledge);</w:t>
      </w:r>
    </w:p>
    <w:p w14:paraId="0F9E59A4" w14:textId="77777777" w:rsidR="005308BC" w:rsidRPr="007E50ED" w:rsidRDefault="005308BC" w:rsidP="007E50ED">
      <w:pPr>
        <w:pStyle w:val="ListParagraph"/>
        <w:numPr>
          <w:ilvl w:val="0"/>
          <w:numId w:val="35"/>
        </w:numPr>
        <w:spacing w:after="60"/>
        <w:jc w:val="both"/>
        <w:rPr>
          <w:rFonts w:cs="Arial"/>
          <w:szCs w:val="22"/>
        </w:rPr>
      </w:pPr>
      <w:r w:rsidRPr="007E50ED">
        <w:rPr>
          <w:rFonts w:cs="Arial"/>
          <w:szCs w:val="22"/>
        </w:rPr>
        <w:t>changes in client’s access to LCT over time at the FDS and the client’s current use of LCT (e.g. participating in local community activities – state specific details);</w:t>
      </w:r>
    </w:p>
    <w:p w14:paraId="48E194C9" w14:textId="77777777" w:rsidR="005308BC" w:rsidRPr="007E50ED" w:rsidRDefault="005308BC" w:rsidP="007E50ED">
      <w:pPr>
        <w:pStyle w:val="ListParagraph"/>
        <w:numPr>
          <w:ilvl w:val="0"/>
          <w:numId w:val="35"/>
        </w:numPr>
        <w:spacing w:after="60"/>
        <w:jc w:val="both"/>
        <w:rPr>
          <w:rFonts w:cs="Arial"/>
          <w:szCs w:val="22"/>
        </w:rPr>
      </w:pPr>
      <w:r w:rsidRPr="007E50ED">
        <w:rPr>
          <w:rFonts w:cs="Arial"/>
          <w:szCs w:val="22"/>
        </w:rPr>
        <w:t>whether the client has been charged with any criminal offences since being detained at the FDS;</w:t>
      </w:r>
    </w:p>
    <w:p w14:paraId="1115C34E" w14:textId="77777777" w:rsidR="005308BC" w:rsidRPr="007E50ED" w:rsidRDefault="005308BC" w:rsidP="007E50ED">
      <w:pPr>
        <w:pStyle w:val="ListParagraph"/>
        <w:numPr>
          <w:ilvl w:val="0"/>
          <w:numId w:val="35"/>
        </w:numPr>
        <w:spacing w:after="60"/>
        <w:jc w:val="both"/>
        <w:rPr>
          <w:rFonts w:cs="Arial"/>
          <w:szCs w:val="22"/>
        </w:rPr>
      </w:pPr>
      <w:r w:rsidRPr="007E50ED">
        <w:rPr>
          <w:rFonts w:cs="Arial"/>
          <w:szCs w:val="22"/>
        </w:rPr>
        <w:t xml:space="preserve">current risk assessment findings (e.g. </w:t>
      </w:r>
      <w:r w:rsidRPr="007E50ED">
        <w:rPr>
          <w:rFonts w:cs="Arial"/>
          <w:szCs w:val="22"/>
          <w:lang w:val="en-AU"/>
        </w:rPr>
        <w:t xml:space="preserve">risk of re-offending, </w:t>
      </w:r>
      <w:r w:rsidRPr="007E50ED">
        <w:rPr>
          <w:rFonts w:cs="Arial"/>
          <w:szCs w:val="22"/>
        </w:rPr>
        <w:t>risk of harm to others/self, risk of non-compliance with Forensic Order and attached conditions);</w:t>
      </w:r>
    </w:p>
    <w:p w14:paraId="0AF24A7A" w14:textId="154F5969" w:rsidR="005308BC" w:rsidRPr="009F7262" w:rsidRDefault="005308BC" w:rsidP="007E50ED">
      <w:pPr>
        <w:pStyle w:val="ListParagraph"/>
        <w:numPr>
          <w:ilvl w:val="0"/>
          <w:numId w:val="35"/>
        </w:numPr>
        <w:spacing w:after="60"/>
        <w:jc w:val="both"/>
        <w:rPr>
          <w:rFonts w:cs="Arial"/>
          <w:szCs w:val="22"/>
        </w:rPr>
      </w:pPr>
      <w:r w:rsidRPr="007E50ED">
        <w:rPr>
          <w:rFonts w:cs="Arial"/>
          <w:szCs w:val="22"/>
        </w:rPr>
        <w:t xml:space="preserve">where a client has </w:t>
      </w:r>
      <w:r w:rsidR="00E253E4">
        <w:rPr>
          <w:rFonts w:cs="Arial"/>
          <w:szCs w:val="22"/>
        </w:rPr>
        <w:t>behaviours of concern</w:t>
      </w:r>
      <w:r w:rsidRPr="007E50ED">
        <w:rPr>
          <w:rFonts w:cs="Arial"/>
          <w:szCs w:val="22"/>
        </w:rPr>
        <w:t xml:space="preserve">, information about changes in the client’s </w:t>
      </w:r>
      <w:r w:rsidRPr="009F7262">
        <w:rPr>
          <w:rFonts w:cs="Arial"/>
          <w:szCs w:val="22"/>
        </w:rPr>
        <w:t>behaviour, the current approach to supporting the client at the FDS, and whether there is a need for a positive behaviour support plan when the client exits the FDS;</w:t>
      </w:r>
    </w:p>
    <w:p w14:paraId="0C1FD435" w14:textId="2FA5D68B" w:rsidR="005308BC" w:rsidRPr="009F7262" w:rsidRDefault="005308BC" w:rsidP="007E50ED">
      <w:pPr>
        <w:pStyle w:val="ListParagraph"/>
        <w:numPr>
          <w:ilvl w:val="0"/>
          <w:numId w:val="35"/>
        </w:numPr>
        <w:jc w:val="both"/>
        <w:rPr>
          <w:rFonts w:cs="Arial"/>
          <w:szCs w:val="22"/>
        </w:rPr>
      </w:pPr>
      <w:r w:rsidRPr="009F7262">
        <w:rPr>
          <w:rFonts w:cs="Arial"/>
          <w:szCs w:val="22"/>
        </w:rPr>
        <w:t>progress made regarding</w:t>
      </w:r>
      <w:r w:rsidR="00E56470" w:rsidRPr="009F7262">
        <w:rPr>
          <w:rFonts w:cs="Arial"/>
          <w:szCs w:val="22"/>
        </w:rPr>
        <w:t xml:space="preserve"> attending to functional skills for daily living (e.g. self-care, social</w:t>
      </w:r>
      <w:r w:rsidR="005B55CE" w:rsidRPr="009F7262">
        <w:rPr>
          <w:rFonts w:cs="Arial"/>
          <w:szCs w:val="22"/>
        </w:rPr>
        <w:t xml:space="preserve">, safety, vocational skills, health care and managing health conditions) </w:t>
      </w:r>
      <w:r w:rsidRPr="009F7262">
        <w:rPr>
          <w:rFonts w:cs="Arial"/>
          <w:szCs w:val="22"/>
        </w:rPr>
        <w:t>;</w:t>
      </w:r>
    </w:p>
    <w:p w14:paraId="3E8BEFC1" w14:textId="1CA5F3AB" w:rsidR="003D4A2E" w:rsidRPr="009F7262" w:rsidRDefault="003D4A2E" w:rsidP="007E50ED">
      <w:pPr>
        <w:pStyle w:val="ListParagraph"/>
        <w:numPr>
          <w:ilvl w:val="0"/>
          <w:numId w:val="35"/>
        </w:numPr>
        <w:jc w:val="both"/>
        <w:rPr>
          <w:rFonts w:cs="Arial"/>
          <w:szCs w:val="22"/>
        </w:rPr>
      </w:pPr>
      <w:r w:rsidRPr="009F7262">
        <w:rPr>
          <w:rFonts w:cs="Arial"/>
          <w:szCs w:val="22"/>
          <w:lang w:val="en-AU"/>
        </w:rPr>
        <w:t>any outstanding needs or skills that would benefit from further development or maintenance outside the FDS;</w:t>
      </w:r>
    </w:p>
    <w:p w14:paraId="3C1CBD56" w14:textId="208F8FCA" w:rsidR="005308BC" w:rsidRPr="007E50ED" w:rsidRDefault="005308BC" w:rsidP="007E50ED">
      <w:pPr>
        <w:pStyle w:val="ListParagraph"/>
        <w:numPr>
          <w:ilvl w:val="0"/>
          <w:numId w:val="35"/>
        </w:numPr>
        <w:jc w:val="both"/>
        <w:rPr>
          <w:rFonts w:cs="Arial"/>
          <w:szCs w:val="22"/>
        </w:rPr>
      </w:pPr>
      <w:r w:rsidRPr="007E50ED">
        <w:rPr>
          <w:rFonts w:cs="Arial"/>
          <w:szCs w:val="22"/>
        </w:rPr>
        <w:t>whether there are any assessments that still need to be undertaken to inform the client’s needs or support arrangements in the community.</w:t>
      </w:r>
    </w:p>
    <w:p w14:paraId="35985C0B" w14:textId="77777777" w:rsidR="005308BC" w:rsidRPr="00D442D5" w:rsidRDefault="005308BC" w:rsidP="007E50ED">
      <w:pPr>
        <w:pStyle w:val="ListParagraph"/>
        <w:jc w:val="both"/>
        <w:rPr>
          <w:rFonts w:cs="Arial"/>
          <w:szCs w:val="22"/>
        </w:rPr>
      </w:pPr>
    </w:p>
    <w:p w14:paraId="310FD6A2" w14:textId="77777777" w:rsidR="005308BC" w:rsidRPr="00B97839" w:rsidRDefault="005308BC" w:rsidP="007E50ED">
      <w:pPr>
        <w:pStyle w:val="ListParagraph"/>
        <w:numPr>
          <w:ilvl w:val="0"/>
          <w:numId w:val="25"/>
        </w:numPr>
        <w:spacing w:after="60"/>
        <w:jc w:val="both"/>
        <w:rPr>
          <w:rFonts w:cs="Arial"/>
          <w:b/>
          <w:szCs w:val="22"/>
        </w:rPr>
      </w:pPr>
      <w:r w:rsidRPr="00B97839">
        <w:rPr>
          <w:rFonts w:cs="Arial"/>
          <w:b/>
          <w:szCs w:val="22"/>
        </w:rPr>
        <w:t>Community based support needs (where applicable)</w:t>
      </w:r>
    </w:p>
    <w:p w14:paraId="47A9C703" w14:textId="77777777" w:rsidR="005308BC" w:rsidRPr="007E50ED" w:rsidRDefault="005308BC" w:rsidP="007E50ED">
      <w:pPr>
        <w:pStyle w:val="ListParagraph"/>
        <w:numPr>
          <w:ilvl w:val="0"/>
          <w:numId w:val="36"/>
        </w:numPr>
        <w:spacing w:after="60"/>
        <w:jc w:val="both"/>
        <w:rPr>
          <w:rFonts w:cs="Arial"/>
          <w:szCs w:val="22"/>
        </w:rPr>
      </w:pPr>
      <w:r w:rsidRPr="007E50ED">
        <w:rPr>
          <w:rFonts w:cs="Arial"/>
          <w:szCs w:val="22"/>
        </w:rPr>
        <w:t>the name of the AMHS that will take responsibility for the client’s forensic order;</w:t>
      </w:r>
    </w:p>
    <w:p w14:paraId="5744A6D7" w14:textId="77777777" w:rsidR="005308BC" w:rsidRPr="007E50ED" w:rsidRDefault="005308BC" w:rsidP="007E50ED">
      <w:pPr>
        <w:pStyle w:val="ListParagraph"/>
        <w:numPr>
          <w:ilvl w:val="0"/>
          <w:numId w:val="36"/>
        </w:numPr>
        <w:spacing w:after="60"/>
        <w:jc w:val="both"/>
        <w:rPr>
          <w:rFonts w:cs="Arial"/>
          <w:szCs w:val="22"/>
        </w:rPr>
      </w:pPr>
      <w:r w:rsidRPr="007E50ED">
        <w:rPr>
          <w:rFonts w:cs="Arial"/>
          <w:szCs w:val="22"/>
        </w:rPr>
        <w:t>the client’s NDIA plan, including the disability supports funded and the service providers engaged to provide supports;</w:t>
      </w:r>
    </w:p>
    <w:p w14:paraId="7FC15D65" w14:textId="77777777" w:rsidR="005308BC" w:rsidRPr="007E50ED" w:rsidRDefault="005308BC" w:rsidP="007E50ED">
      <w:pPr>
        <w:pStyle w:val="ListParagraph"/>
        <w:numPr>
          <w:ilvl w:val="0"/>
          <w:numId w:val="36"/>
        </w:numPr>
        <w:spacing w:after="60"/>
        <w:jc w:val="both"/>
        <w:rPr>
          <w:rFonts w:cs="Arial"/>
          <w:szCs w:val="22"/>
        </w:rPr>
      </w:pPr>
      <w:r w:rsidRPr="007E50ED">
        <w:rPr>
          <w:rFonts w:cs="Arial"/>
          <w:szCs w:val="22"/>
        </w:rPr>
        <w:t>the client’s accommodation upon return to the community (e.g. cite address);</w:t>
      </w:r>
    </w:p>
    <w:p w14:paraId="3828DCFC" w14:textId="0824539D" w:rsidR="005308BC" w:rsidRPr="007E50ED" w:rsidRDefault="005308BC" w:rsidP="007E50ED">
      <w:pPr>
        <w:pStyle w:val="ListParagraph"/>
        <w:numPr>
          <w:ilvl w:val="0"/>
          <w:numId w:val="36"/>
        </w:numPr>
        <w:spacing w:after="60"/>
        <w:jc w:val="both"/>
        <w:rPr>
          <w:rFonts w:cs="Arial"/>
          <w:szCs w:val="22"/>
        </w:rPr>
      </w:pPr>
      <w:r w:rsidRPr="007E50ED">
        <w:rPr>
          <w:rFonts w:cs="Arial"/>
          <w:szCs w:val="22"/>
        </w:rPr>
        <w:t>how the accommodation meets the client’s needs and why it is considered appropriate;</w:t>
      </w:r>
    </w:p>
    <w:p w14:paraId="12B27B9A" w14:textId="74A85B97" w:rsidR="005308BC" w:rsidRPr="007E50ED" w:rsidRDefault="005308BC" w:rsidP="007E50ED">
      <w:pPr>
        <w:pStyle w:val="ListParagraph"/>
        <w:numPr>
          <w:ilvl w:val="0"/>
          <w:numId w:val="36"/>
        </w:numPr>
        <w:jc w:val="both"/>
        <w:rPr>
          <w:rFonts w:cs="Arial"/>
          <w:szCs w:val="22"/>
        </w:rPr>
      </w:pPr>
      <w:r w:rsidRPr="007E50ED">
        <w:rPr>
          <w:rFonts w:cs="Arial"/>
          <w:szCs w:val="22"/>
        </w:rPr>
        <w:t xml:space="preserve">other relevant services </w:t>
      </w:r>
      <w:r w:rsidR="007F0A00">
        <w:rPr>
          <w:rFonts w:cs="Arial"/>
          <w:szCs w:val="22"/>
        </w:rPr>
        <w:t>are or will be</w:t>
      </w:r>
      <w:r w:rsidRPr="007E50ED">
        <w:rPr>
          <w:rFonts w:cs="Arial"/>
          <w:szCs w:val="22"/>
        </w:rPr>
        <w:t xml:space="preserve"> engaged to provide required supports to the client when they have exited the FDS and are living in the community (e.g. alcohol and drug services, medication oversight, maintenance programs</w:t>
      </w:r>
      <w:r w:rsidR="007F0A00">
        <w:rPr>
          <w:rFonts w:cs="Arial"/>
          <w:szCs w:val="22"/>
        </w:rPr>
        <w:t>, health providers</w:t>
      </w:r>
      <w:r w:rsidRPr="007E50ED">
        <w:rPr>
          <w:rFonts w:cs="Arial"/>
          <w:szCs w:val="22"/>
        </w:rPr>
        <w:t xml:space="preserve">); </w:t>
      </w:r>
    </w:p>
    <w:p w14:paraId="643C846E" w14:textId="77777777" w:rsidR="005308BC" w:rsidRPr="007E50ED" w:rsidRDefault="005308BC" w:rsidP="007E50ED">
      <w:pPr>
        <w:pStyle w:val="ListParagraph"/>
        <w:numPr>
          <w:ilvl w:val="0"/>
          <w:numId w:val="36"/>
        </w:numPr>
        <w:spacing w:after="60"/>
        <w:jc w:val="both"/>
        <w:rPr>
          <w:rFonts w:cs="Arial"/>
          <w:szCs w:val="22"/>
        </w:rPr>
      </w:pPr>
      <w:r w:rsidRPr="007E50ED">
        <w:rPr>
          <w:rFonts w:cs="Arial"/>
          <w:szCs w:val="22"/>
        </w:rPr>
        <w:t>how the client’s risk factors will be mitigated by supports and services in the community;</w:t>
      </w:r>
    </w:p>
    <w:p w14:paraId="00B166BA" w14:textId="4E914F0D" w:rsidR="005308BC" w:rsidRPr="007E50ED" w:rsidRDefault="005308BC" w:rsidP="007E50ED">
      <w:pPr>
        <w:pStyle w:val="ListParagraph"/>
        <w:numPr>
          <w:ilvl w:val="0"/>
          <w:numId w:val="36"/>
        </w:numPr>
        <w:spacing w:after="60"/>
        <w:jc w:val="both"/>
        <w:rPr>
          <w:rFonts w:cs="Arial"/>
          <w:szCs w:val="22"/>
        </w:rPr>
      </w:pPr>
      <w:r w:rsidRPr="007E50ED">
        <w:rPr>
          <w:rFonts w:cs="Arial"/>
          <w:szCs w:val="22"/>
        </w:rPr>
        <w:t>the client’s capacity to attend to functional skills (e.g. activities of daily living) when in the community</w:t>
      </w:r>
      <w:r w:rsidR="00E253E4">
        <w:rPr>
          <w:rFonts w:cs="Arial"/>
          <w:szCs w:val="22"/>
        </w:rPr>
        <w:t xml:space="preserve"> and any additional support requirements</w:t>
      </w:r>
      <w:r w:rsidRPr="007E50ED">
        <w:rPr>
          <w:rFonts w:cs="Arial"/>
          <w:szCs w:val="22"/>
        </w:rPr>
        <w:t>;</w:t>
      </w:r>
    </w:p>
    <w:p w14:paraId="30BE9D3A" w14:textId="77777777" w:rsidR="005308BC" w:rsidRPr="007E50ED" w:rsidRDefault="005308BC" w:rsidP="007E50ED">
      <w:pPr>
        <w:pStyle w:val="ListParagraph"/>
        <w:numPr>
          <w:ilvl w:val="0"/>
          <w:numId w:val="36"/>
        </w:numPr>
        <w:jc w:val="both"/>
        <w:rPr>
          <w:rFonts w:cs="Arial"/>
          <w:szCs w:val="22"/>
        </w:rPr>
      </w:pPr>
      <w:r w:rsidRPr="007E50ED">
        <w:rPr>
          <w:rFonts w:cs="Arial"/>
          <w:szCs w:val="22"/>
        </w:rPr>
        <w:t>the client’s means of financial support when in the community (e.g. Public Trustee);</w:t>
      </w:r>
    </w:p>
    <w:p w14:paraId="1BA281A1" w14:textId="77777777" w:rsidR="005308BC" w:rsidRPr="007E50ED" w:rsidRDefault="005308BC" w:rsidP="007E50ED">
      <w:pPr>
        <w:pStyle w:val="ListParagraph"/>
        <w:numPr>
          <w:ilvl w:val="0"/>
          <w:numId w:val="36"/>
        </w:numPr>
        <w:spacing w:after="60"/>
        <w:jc w:val="both"/>
        <w:rPr>
          <w:rFonts w:cs="Arial"/>
          <w:szCs w:val="22"/>
        </w:rPr>
      </w:pPr>
      <w:r w:rsidRPr="007E50ED">
        <w:rPr>
          <w:rFonts w:cs="Arial"/>
          <w:szCs w:val="22"/>
        </w:rPr>
        <w:t>nature of relationship with family members (protective and/or risk factors); and</w:t>
      </w:r>
    </w:p>
    <w:p w14:paraId="4453CE60" w14:textId="79CE9A7A" w:rsidR="005308BC" w:rsidRPr="007E50ED" w:rsidRDefault="005308BC" w:rsidP="007E50ED">
      <w:pPr>
        <w:pStyle w:val="ListParagraph"/>
        <w:numPr>
          <w:ilvl w:val="0"/>
          <w:numId w:val="36"/>
        </w:numPr>
        <w:spacing w:after="60"/>
        <w:jc w:val="both"/>
        <w:rPr>
          <w:rFonts w:cs="Arial"/>
          <w:szCs w:val="22"/>
        </w:rPr>
      </w:pPr>
      <w:r w:rsidRPr="007E50ED">
        <w:rPr>
          <w:rFonts w:cs="Arial"/>
          <w:szCs w:val="22"/>
        </w:rPr>
        <w:t xml:space="preserve">the logistics of returning the client to the community (e.g. transportation, escorting client, overnight interim accommodation, </w:t>
      </w:r>
      <w:r w:rsidR="00AD7CD5">
        <w:rPr>
          <w:rFonts w:cs="Arial"/>
          <w:szCs w:val="22"/>
        </w:rPr>
        <w:t>handover arrangements</w:t>
      </w:r>
      <w:r w:rsidRPr="007E50ED">
        <w:rPr>
          <w:rFonts w:cs="Arial"/>
          <w:szCs w:val="22"/>
        </w:rPr>
        <w:t xml:space="preserve"> with AMHS etc.).</w:t>
      </w:r>
    </w:p>
    <w:p w14:paraId="336F33EE" w14:textId="0C0E96D3" w:rsidR="005308BC" w:rsidRPr="00B97839" w:rsidRDefault="005308BC" w:rsidP="007E50ED">
      <w:pPr>
        <w:pStyle w:val="Heading2"/>
        <w:numPr>
          <w:ilvl w:val="0"/>
          <w:numId w:val="32"/>
        </w:numPr>
      </w:pPr>
      <w:r w:rsidRPr="00B97839">
        <w:t xml:space="preserve">Stakeholder involvement </w:t>
      </w:r>
    </w:p>
    <w:p w14:paraId="4C280FF2" w14:textId="28E883C5" w:rsidR="005308BC" w:rsidRDefault="005308BC" w:rsidP="007E50ED">
      <w:pPr>
        <w:suppressAutoHyphens/>
        <w:spacing w:after="160"/>
        <w:jc w:val="both"/>
        <w:rPr>
          <w:rFonts w:cs="Arial"/>
          <w:szCs w:val="22"/>
        </w:rPr>
      </w:pPr>
      <w:r>
        <w:rPr>
          <w:rFonts w:cs="Arial"/>
          <w:szCs w:val="22"/>
        </w:rPr>
        <w:t xml:space="preserve">It is </w:t>
      </w:r>
      <w:r w:rsidR="002E4071">
        <w:rPr>
          <w:rFonts w:cs="Arial"/>
          <w:szCs w:val="22"/>
        </w:rPr>
        <w:t>important</w:t>
      </w:r>
      <w:r w:rsidR="002E4071" w:rsidRPr="0017760D">
        <w:rPr>
          <w:rFonts w:cs="Arial"/>
          <w:szCs w:val="22"/>
        </w:rPr>
        <w:t xml:space="preserve"> </w:t>
      </w:r>
      <w:r w:rsidRPr="0017760D">
        <w:rPr>
          <w:rFonts w:cs="Arial"/>
          <w:szCs w:val="22"/>
        </w:rPr>
        <w:t xml:space="preserve">that </w:t>
      </w:r>
      <w:r w:rsidR="002E4071">
        <w:rPr>
          <w:rFonts w:cs="Arial"/>
          <w:szCs w:val="22"/>
        </w:rPr>
        <w:t>the</w:t>
      </w:r>
      <w:r w:rsidR="002E4071" w:rsidRPr="0017760D">
        <w:rPr>
          <w:rFonts w:cs="Arial"/>
          <w:szCs w:val="22"/>
        </w:rPr>
        <w:t xml:space="preserve"> </w:t>
      </w:r>
      <w:r w:rsidRPr="0017760D">
        <w:rPr>
          <w:rFonts w:cs="Arial"/>
          <w:szCs w:val="22"/>
        </w:rPr>
        <w:t xml:space="preserve">Transfer Plan </w:t>
      </w:r>
      <w:r w:rsidR="002E4071">
        <w:rPr>
          <w:rFonts w:cs="Arial"/>
          <w:szCs w:val="22"/>
        </w:rPr>
        <w:t>involves relevant stakeholders</w:t>
      </w:r>
      <w:r>
        <w:rPr>
          <w:rFonts w:cs="Arial"/>
          <w:szCs w:val="22"/>
        </w:rPr>
        <w:t>. NDIS planning, commencing from the time the client is admitted to the FDS, will involve the client, their guardian and, where consent is provided, staff from the FDS. The NDIS plan will outline the disability supports required by the client. As part of NDIS planning s</w:t>
      </w:r>
      <w:r w:rsidRPr="00946AAF">
        <w:rPr>
          <w:rFonts w:cs="Arial"/>
          <w:szCs w:val="22"/>
        </w:rPr>
        <w:t xml:space="preserve">takeholders </w:t>
      </w:r>
      <w:r>
        <w:rPr>
          <w:rFonts w:cs="Arial"/>
          <w:szCs w:val="22"/>
        </w:rPr>
        <w:t>will</w:t>
      </w:r>
      <w:r w:rsidRPr="00946AAF">
        <w:rPr>
          <w:rFonts w:cs="Arial"/>
          <w:szCs w:val="22"/>
        </w:rPr>
        <w:t xml:space="preserve"> be asked to provide information regarding future community accommodation and the appropriateness of the proposed accommodation</w:t>
      </w:r>
      <w:r>
        <w:rPr>
          <w:rFonts w:cs="Arial"/>
          <w:szCs w:val="22"/>
        </w:rPr>
        <w:t xml:space="preserve"> and community based service providers</w:t>
      </w:r>
      <w:r w:rsidRPr="00946AAF">
        <w:rPr>
          <w:rFonts w:cs="Arial"/>
          <w:szCs w:val="22"/>
        </w:rPr>
        <w:t xml:space="preserve">. </w:t>
      </w:r>
    </w:p>
    <w:p w14:paraId="37F892A1" w14:textId="5943D85F" w:rsidR="005308BC" w:rsidRDefault="005308BC" w:rsidP="007E50ED">
      <w:pPr>
        <w:suppressAutoHyphens/>
        <w:spacing w:after="160"/>
        <w:jc w:val="both"/>
        <w:rPr>
          <w:rFonts w:cs="Arial"/>
          <w:szCs w:val="22"/>
        </w:rPr>
      </w:pPr>
      <w:r>
        <w:rPr>
          <w:rFonts w:cs="Arial"/>
          <w:szCs w:val="22"/>
        </w:rPr>
        <w:t>The FDS will take into account the NDIS plan and liaise with stakeholders to identify additional client support needs and risk management strategies required when the person transfers from the FDS. Stakeholders will vary depending on the client’s circumstances but will include the client, their allied person, their guardian</w:t>
      </w:r>
      <w:r w:rsidR="002E4071">
        <w:rPr>
          <w:rFonts w:cs="Arial"/>
          <w:szCs w:val="22"/>
        </w:rPr>
        <w:t>,</w:t>
      </w:r>
      <w:r>
        <w:rPr>
          <w:rFonts w:cs="Arial"/>
          <w:szCs w:val="22"/>
        </w:rPr>
        <w:t xml:space="preserve"> and </w:t>
      </w:r>
      <w:r w:rsidRPr="00EA4E52">
        <w:rPr>
          <w:rFonts w:cs="Arial"/>
          <w:szCs w:val="22"/>
        </w:rPr>
        <w:t>representatives of the receiving AMHS</w:t>
      </w:r>
      <w:r>
        <w:rPr>
          <w:rFonts w:cs="Arial"/>
          <w:szCs w:val="22"/>
        </w:rPr>
        <w:t xml:space="preserve">. Other stakeholders may include representatives from other government departments (e.g. health, housing), treating clinicians/Doctors, advocates and current and/or future service providers. </w:t>
      </w:r>
    </w:p>
    <w:p w14:paraId="561DEA8D" w14:textId="77777777" w:rsidR="005308BC" w:rsidRPr="00D25D2B" w:rsidRDefault="005308BC" w:rsidP="007E50ED">
      <w:pPr>
        <w:suppressAutoHyphens/>
        <w:spacing w:after="160"/>
        <w:jc w:val="both"/>
        <w:rPr>
          <w:rFonts w:cs="Arial"/>
          <w:szCs w:val="22"/>
        </w:rPr>
      </w:pPr>
      <w:r>
        <w:rPr>
          <w:rFonts w:cs="Arial"/>
          <w:szCs w:val="22"/>
        </w:rPr>
        <w:t xml:space="preserve">Involvement of the receiving AMHS will be necessary to determine which AMHS is to take responsibility for the client’s forensic order and the level of future support and supervision to be provided by the receiving AMHS. </w:t>
      </w:r>
    </w:p>
    <w:p w14:paraId="54BC08AD" w14:textId="7B13D968" w:rsidR="005308BC" w:rsidRDefault="005308BC" w:rsidP="007E50ED">
      <w:pPr>
        <w:suppressAutoHyphens/>
        <w:jc w:val="both"/>
        <w:rPr>
          <w:rFonts w:cs="Arial"/>
          <w:szCs w:val="22"/>
        </w:rPr>
      </w:pPr>
      <w:r>
        <w:rPr>
          <w:rFonts w:cs="Arial"/>
          <w:szCs w:val="22"/>
        </w:rPr>
        <w:t xml:space="preserve">Contact with stakeholders should be organised by the FDS staff member co-ordinating the Transfer Plan and </w:t>
      </w:r>
      <w:r w:rsidR="004224DA">
        <w:rPr>
          <w:rFonts w:cs="Arial"/>
          <w:szCs w:val="22"/>
        </w:rPr>
        <w:t xml:space="preserve">should occur </w:t>
      </w:r>
      <w:r>
        <w:rPr>
          <w:rFonts w:cs="Arial"/>
          <w:szCs w:val="22"/>
        </w:rPr>
        <w:t xml:space="preserve">in a manner considered appropriate. For example, contact between the FDS staff member and the relevant stakeholder may be on an individual basis or in a group setting with other stakeholders present. </w:t>
      </w:r>
    </w:p>
    <w:p w14:paraId="0AD52B7E" w14:textId="0DE6BCFE" w:rsidR="005308BC" w:rsidRPr="00B97839" w:rsidRDefault="005308BC" w:rsidP="007E50ED">
      <w:pPr>
        <w:pStyle w:val="Heading2"/>
        <w:numPr>
          <w:ilvl w:val="0"/>
          <w:numId w:val="32"/>
        </w:numPr>
      </w:pPr>
      <w:r w:rsidRPr="00B97839">
        <w:t>FDS responsible for Transfer Plan</w:t>
      </w:r>
    </w:p>
    <w:p w14:paraId="2EF23C58" w14:textId="3D655EBF" w:rsidR="005308BC" w:rsidRPr="001024FA" w:rsidRDefault="005308BC" w:rsidP="007E50ED">
      <w:pPr>
        <w:suppressAutoHyphens/>
        <w:spacing w:after="160"/>
        <w:jc w:val="both"/>
        <w:rPr>
          <w:rFonts w:cs="Arial"/>
          <w:szCs w:val="22"/>
        </w:rPr>
      </w:pPr>
      <w:r>
        <w:rPr>
          <w:rFonts w:cs="Arial"/>
          <w:szCs w:val="22"/>
        </w:rPr>
        <w:t xml:space="preserve">At the time of preparing the Transfer Plan, the client </w:t>
      </w:r>
      <w:r w:rsidR="005A3223">
        <w:rPr>
          <w:rFonts w:cs="Arial"/>
          <w:szCs w:val="22"/>
        </w:rPr>
        <w:t>continues to be the responsibility of the FDS</w:t>
      </w:r>
      <w:r w:rsidRPr="001024FA">
        <w:rPr>
          <w:rFonts w:cs="Arial"/>
          <w:szCs w:val="22"/>
        </w:rPr>
        <w:t xml:space="preserve">. </w:t>
      </w:r>
    </w:p>
    <w:p w14:paraId="1E01BEF5" w14:textId="770CB414" w:rsidR="005308BC" w:rsidRDefault="005308BC" w:rsidP="007E50ED">
      <w:pPr>
        <w:suppressAutoHyphens/>
        <w:jc w:val="both"/>
        <w:rPr>
          <w:rFonts w:cs="Arial"/>
          <w:szCs w:val="22"/>
        </w:rPr>
      </w:pPr>
      <w:r>
        <w:rPr>
          <w:rFonts w:cs="Arial"/>
          <w:szCs w:val="22"/>
        </w:rPr>
        <w:t xml:space="preserve">From a practical viewpoint, the Senior Practitioner, or an appropriate FDS staff member nominated by the Senior Practitioner, should </w:t>
      </w:r>
      <w:r w:rsidR="0059226C">
        <w:rPr>
          <w:rFonts w:cs="Arial"/>
          <w:szCs w:val="22"/>
        </w:rPr>
        <w:t xml:space="preserve">seek assistance from stakeholders, </w:t>
      </w:r>
      <w:r>
        <w:rPr>
          <w:rFonts w:cs="Arial"/>
          <w:szCs w:val="22"/>
        </w:rPr>
        <w:t xml:space="preserve">co-ordinate and be accountable for the creation of the Transfer Plan. </w:t>
      </w:r>
    </w:p>
    <w:p w14:paraId="56E8A24C" w14:textId="475155AD" w:rsidR="007E50ED" w:rsidRPr="007E50ED" w:rsidRDefault="004224DA" w:rsidP="007E50ED">
      <w:pPr>
        <w:pStyle w:val="Heading2"/>
        <w:numPr>
          <w:ilvl w:val="0"/>
          <w:numId w:val="32"/>
        </w:numPr>
        <w:spacing w:after="60"/>
        <w:rPr>
          <w:sz w:val="22"/>
          <w:szCs w:val="22"/>
        </w:rPr>
      </w:pPr>
      <w:r>
        <w:lastRenderedPageBreak/>
        <w:t xml:space="preserve">Request </w:t>
      </w:r>
      <w:r w:rsidR="007E50ED">
        <w:t xml:space="preserve">for transfer to the Mental Health Review </w:t>
      </w:r>
    </w:p>
    <w:p w14:paraId="5AF192CC" w14:textId="4981BC1E" w:rsidR="005308BC" w:rsidRPr="007E50ED" w:rsidRDefault="004224DA" w:rsidP="007E50ED">
      <w:pPr>
        <w:jc w:val="both"/>
      </w:pPr>
      <w:r>
        <w:rPr>
          <w:rFonts w:eastAsia="Calibri"/>
        </w:rPr>
        <w:t>The FDS treating team and a</w:t>
      </w:r>
      <w:r w:rsidR="005308BC" w:rsidRPr="007E50ED">
        <w:rPr>
          <w:rFonts w:eastAsia="Calibri"/>
        </w:rPr>
        <w:t>ny party to the MHRT review of the client’s Forensic Order may request that the MHRT order the transfer of responsibility for the client’s forensic order to an AMHS (</w:t>
      </w:r>
      <w:r w:rsidR="005308BC" w:rsidRPr="007E50ED">
        <w:t xml:space="preserve">section 456 MHA). </w:t>
      </w:r>
    </w:p>
    <w:p w14:paraId="1DF2130D" w14:textId="0AFE3053" w:rsidR="005308BC" w:rsidRDefault="005308BC" w:rsidP="007E50ED">
      <w:pPr>
        <w:spacing w:after="60"/>
        <w:jc w:val="both"/>
        <w:rPr>
          <w:rFonts w:eastAsia="Calibri" w:cs="Arial"/>
          <w:color w:val="FF0000"/>
          <w:szCs w:val="22"/>
          <w:lang w:eastAsia="en-US"/>
        </w:rPr>
      </w:pPr>
      <w:r>
        <w:rPr>
          <w:rFonts w:cs="Arial"/>
          <w:szCs w:val="22"/>
        </w:rPr>
        <w:t>In deciding whether to make an order, the MHRT must have regard to each of the following</w:t>
      </w:r>
      <w:r w:rsidR="0059226C">
        <w:rPr>
          <w:rFonts w:cs="Arial"/>
          <w:szCs w:val="22"/>
        </w:rPr>
        <w:t>:</w:t>
      </w:r>
      <w:r>
        <w:rPr>
          <w:rFonts w:cs="Arial"/>
          <w:szCs w:val="22"/>
        </w:rPr>
        <w:t xml:space="preserve"> </w:t>
      </w:r>
    </w:p>
    <w:p w14:paraId="6AD1943E" w14:textId="77777777" w:rsidR="005308BC" w:rsidRDefault="005308BC" w:rsidP="007E50ED">
      <w:pPr>
        <w:pStyle w:val="ListParagraph"/>
        <w:numPr>
          <w:ilvl w:val="0"/>
          <w:numId w:val="37"/>
        </w:numPr>
        <w:jc w:val="both"/>
      </w:pPr>
      <w:r w:rsidRPr="00D46755">
        <w:t xml:space="preserve">the person’s mental state and psychiatric history; </w:t>
      </w:r>
    </w:p>
    <w:p w14:paraId="0530EE8C" w14:textId="77777777" w:rsidR="005308BC" w:rsidRPr="00D46755" w:rsidRDefault="005308BC" w:rsidP="007E50ED">
      <w:pPr>
        <w:pStyle w:val="ListParagraph"/>
        <w:numPr>
          <w:ilvl w:val="0"/>
          <w:numId w:val="37"/>
        </w:numPr>
        <w:jc w:val="both"/>
      </w:pPr>
      <w:r>
        <w:t>any intellectual disability;</w:t>
      </w:r>
    </w:p>
    <w:p w14:paraId="413C2ED3" w14:textId="77777777" w:rsidR="005308BC" w:rsidRDefault="005308BC" w:rsidP="007E50ED">
      <w:pPr>
        <w:pStyle w:val="ListParagraph"/>
        <w:numPr>
          <w:ilvl w:val="0"/>
          <w:numId w:val="37"/>
        </w:numPr>
        <w:jc w:val="both"/>
      </w:pPr>
      <w:r w:rsidRPr="00D46755">
        <w:t xml:space="preserve">the person’s treatment and care needs; </w:t>
      </w:r>
    </w:p>
    <w:p w14:paraId="3CDD36CF" w14:textId="77777777" w:rsidR="005308BC" w:rsidRDefault="005308BC" w:rsidP="007E50ED">
      <w:pPr>
        <w:pStyle w:val="ListParagraph"/>
        <w:numPr>
          <w:ilvl w:val="0"/>
          <w:numId w:val="37"/>
        </w:numPr>
        <w:jc w:val="both"/>
      </w:pPr>
      <w:r>
        <w:t>the security requirements for the person;</w:t>
      </w:r>
    </w:p>
    <w:p w14:paraId="4ECAE0B4" w14:textId="111A9E72" w:rsidR="0062084A" w:rsidRDefault="005308BC" w:rsidP="007E50ED">
      <w:pPr>
        <w:pStyle w:val="ListParagraph"/>
        <w:numPr>
          <w:ilvl w:val="0"/>
          <w:numId w:val="37"/>
        </w:numPr>
        <w:jc w:val="both"/>
      </w:pPr>
      <w:r>
        <w:t xml:space="preserve">the capacity of the AMHS to which the </w:t>
      </w:r>
      <w:r w:rsidR="00CF45A4">
        <w:t xml:space="preserve">client </w:t>
      </w:r>
      <w:r>
        <w:t>is to be transferred;</w:t>
      </w:r>
    </w:p>
    <w:p w14:paraId="0D8C7B18" w14:textId="0FCD0C17" w:rsidR="005308BC" w:rsidRDefault="0062084A" w:rsidP="007E50ED">
      <w:pPr>
        <w:pStyle w:val="ListParagraph"/>
        <w:numPr>
          <w:ilvl w:val="0"/>
          <w:numId w:val="37"/>
        </w:numPr>
        <w:jc w:val="both"/>
      </w:pPr>
      <w:r>
        <w:t>t</w:t>
      </w:r>
      <w:r w:rsidR="0097467C">
        <w:t>o the greatest extent practicable t</w:t>
      </w:r>
      <w:r>
        <w:t xml:space="preserve">he views, wishes and </w:t>
      </w:r>
      <w:r w:rsidR="00CF45A4">
        <w:t>preferences of the client;</w:t>
      </w:r>
      <w:r w:rsidR="005308BC">
        <w:t xml:space="preserve"> and</w:t>
      </w:r>
    </w:p>
    <w:p w14:paraId="3AF341A9" w14:textId="77E94FD5" w:rsidR="007E50ED" w:rsidRDefault="005308BC" w:rsidP="009F7262">
      <w:pPr>
        <w:pStyle w:val="ListParagraph"/>
        <w:numPr>
          <w:ilvl w:val="0"/>
          <w:numId w:val="37"/>
        </w:numPr>
        <w:jc w:val="both"/>
      </w:pPr>
      <w:r w:rsidRPr="00D46755">
        <w:t xml:space="preserve">whether the transfer is </w:t>
      </w:r>
      <w:r w:rsidR="00CF45A4">
        <w:t>appropriate in the circumstances.</w:t>
      </w:r>
      <w:r w:rsidRPr="00D46755">
        <w:t xml:space="preserve"> </w:t>
      </w:r>
    </w:p>
    <w:p w14:paraId="212ABC00" w14:textId="77777777" w:rsidR="007E50ED" w:rsidRDefault="007E50ED" w:rsidP="007E50ED">
      <w:pPr>
        <w:spacing w:after="60"/>
        <w:jc w:val="both"/>
        <w:rPr>
          <w:rFonts w:eastAsia="Calibri" w:cs="Arial"/>
          <w:szCs w:val="22"/>
          <w:lang w:eastAsia="en-US"/>
        </w:rPr>
      </w:pPr>
    </w:p>
    <w:p w14:paraId="40AE0370" w14:textId="586C94F8" w:rsidR="005308BC" w:rsidRDefault="005308BC" w:rsidP="007E50ED">
      <w:pPr>
        <w:spacing w:after="60"/>
        <w:jc w:val="both"/>
        <w:rPr>
          <w:rFonts w:eastAsia="Calibri" w:cs="Arial"/>
          <w:szCs w:val="22"/>
          <w:lang w:eastAsia="en-US"/>
        </w:rPr>
      </w:pPr>
      <w:r w:rsidRPr="00B97839">
        <w:rPr>
          <w:rFonts w:eastAsia="Calibri" w:cs="Arial"/>
          <w:szCs w:val="22"/>
          <w:lang w:eastAsia="en-US"/>
        </w:rPr>
        <w:t>In the event that the MHRT is minded to transfer responsibility for a client from the FDS to an AMHS</w:t>
      </w:r>
      <w:r>
        <w:rPr>
          <w:rFonts w:eastAsia="Calibri" w:cs="Arial"/>
          <w:szCs w:val="22"/>
          <w:lang w:eastAsia="en-US"/>
        </w:rPr>
        <w:t>,</w:t>
      </w:r>
      <w:r w:rsidRPr="00B97839">
        <w:rPr>
          <w:rFonts w:eastAsia="Calibri" w:cs="Arial"/>
          <w:szCs w:val="22"/>
          <w:lang w:eastAsia="en-US"/>
        </w:rPr>
        <w:t xml:space="preserve"> the MHRT will likely request information</w:t>
      </w:r>
      <w:r>
        <w:rPr>
          <w:rFonts w:eastAsia="Calibri" w:cs="Arial"/>
          <w:szCs w:val="22"/>
          <w:lang w:eastAsia="en-US"/>
        </w:rPr>
        <w:t xml:space="preserve"> from the FDS</w:t>
      </w:r>
      <w:r w:rsidRPr="00B97839">
        <w:rPr>
          <w:rFonts w:eastAsia="Calibri" w:cs="Arial"/>
          <w:szCs w:val="22"/>
          <w:lang w:eastAsia="en-US"/>
        </w:rPr>
        <w:t xml:space="preserve"> to address the aforementioned considerations. </w:t>
      </w:r>
      <w:r>
        <w:rPr>
          <w:rFonts w:eastAsia="Calibri" w:cs="Arial"/>
          <w:szCs w:val="22"/>
          <w:lang w:eastAsia="en-US"/>
        </w:rPr>
        <w:t>In those circumstances FDS staff should comply with all reasonable requests for information from the MHRT.</w:t>
      </w:r>
    </w:p>
    <w:p w14:paraId="589BCE4D" w14:textId="6C464280" w:rsidR="00962F6E" w:rsidRDefault="00962F6E" w:rsidP="007E50ED">
      <w:pPr>
        <w:spacing w:after="60"/>
        <w:jc w:val="both"/>
        <w:rPr>
          <w:rFonts w:eastAsia="Calibri" w:cs="Arial"/>
          <w:szCs w:val="22"/>
          <w:lang w:eastAsia="en-US"/>
        </w:rPr>
      </w:pPr>
    </w:p>
    <w:p w14:paraId="5BBE7CA7" w14:textId="1FDC498E" w:rsidR="00962F6E" w:rsidRDefault="00962F6E" w:rsidP="00962F6E">
      <w:pPr>
        <w:spacing w:after="60"/>
        <w:jc w:val="both"/>
        <w:rPr>
          <w:rFonts w:eastAsia="Calibri" w:cs="Arial"/>
          <w:szCs w:val="22"/>
          <w:lang w:eastAsia="en-US"/>
        </w:rPr>
      </w:pPr>
      <w:r>
        <w:rPr>
          <w:rFonts w:eastAsia="Calibri" w:cs="Arial"/>
          <w:szCs w:val="22"/>
          <w:lang w:eastAsia="en-US"/>
        </w:rPr>
        <w:t>Moreover</w:t>
      </w:r>
      <w:r w:rsidR="003D4A2E">
        <w:rPr>
          <w:rFonts w:eastAsia="Calibri" w:cs="Arial"/>
          <w:szCs w:val="22"/>
          <w:lang w:eastAsia="en-US"/>
        </w:rPr>
        <w:t>,</w:t>
      </w:r>
      <w:r>
        <w:rPr>
          <w:rFonts w:eastAsia="Calibri" w:cs="Arial"/>
          <w:szCs w:val="22"/>
          <w:lang w:eastAsia="en-US"/>
        </w:rPr>
        <w:t xml:space="preserve"> and in</w:t>
      </w:r>
      <w:r w:rsidRPr="00B97839">
        <w:rPr>
          <w:rFonts w:eastAsia="Calibri" w:cs="Arial"/>
          <w:szCs w:val="22"/>
          <w:lang w:eastAsia="en-US"/>
        </w:rPr>
        <w:t xml:space="preserve"> practical terms</w:t>
      </w:r>
      <w:r>
        <w:rPr>
          <w:rFonts w:eastAsia="Calibri" w:cs="Arial"/>
          <w:szCs w:val="22"/>
          <w:lang w:eastAsia="en-US"/>
        </w:rPr>
        <w:t>,</w:t>
      </w:r>
      <w:r w:rsidRPr="00B97839">
        <w:rPr>
          <w:rFonts w:eastAsia="Calibri" w:cs="Arial"/>
          <w:szCs w:val="22"/>
          <w:lang w:eastAsia="en-US"/>
        </w:rPr>
        <w:t xml:space="preserve"> the MHRT </w:t>
      </w:r>
      <w:r>
        <w:rPr>
          <w:rFonts w:eastAsia="Calibri" w:cs="Arial"/>
          <w:szCs w:val="22"/>
          <w:lang w:eastAsia="en-US"/>
        </w:rPr>
        <w:t>is</w:t>
      </w:r>
      <w:r w:rsidRPr="00B97839">
        <w:rPr>
          <w:rFonts w:eastAsia="Calibri" w:cs="Arial"/>
          <w:szCs w:val="22"/>
          <w:lang w:eastAsia="en-US"/>
        </w:rPr>
        <w:t xml:space="preserve"> reluctant to order the transfer of responsibility for a client to an AMHS in the absence of </w:t>
      </w:r>
      <w:r w:rsidR="0097467C">
        <w:rPr>
          <w:rFonts w:eastAsia="Calibri" w:cs="Arial"/>
          <w:szCs w:val="22"/>
          <w:lang w:eastAsia="en-US"/>
        </w:rPr>
        <w:t>agreement</w:t>
      </w:r>
      <w:r w:rsidRPr="00B97839">
        <w:rPr>
          <w:rFonts w:eastAsia="Calibri" w:cs="Arial"/>
          <w:szCs w:val="22"/>
          <w:lang w:eastAsia="en-US"/>
        </w:rPr>
        <w:t xml:space="preserve"> from the proposed</w:t>
      </w:r>
      <w:r>
        <w:rPr>
          <w:rFonts w:eastAsia="Calibri" w:cs="Arial"/>
          <w:szCs w:val="22"/>
          <w:lang w:eastAsia="en-US"/>
        </w:rPr>
        <w:t xml:space="preserve"> receiving</w:t>
      </w:r>
      <w:r w:rsidRPr="00B97839">
        <w:rPr>
          <w:rFonts w:eastAsia="Calibri" w:cs="Arial"/>
          <w:szCs w:val="22"/>
          <w:lang w:eastAsia="en-US"/>
        </w:rPr>
        <w:t xml:space="preserve"> AMHS.</w:t>
      </w:r>
      <w:r>
        <w:rPr>
          <w:rFonts w:eastAsia="Calibri" w:cs="Arial"/>
          <w:szCs w:val="22"/>
          <w:lang w:eastAsia="en-US"/>
        </w:rPr>
        <w:t xml:space="preserve"> Therefore, it is </w:t>
      </w:r>
      <w:r w:rsidR="002E4071">
        <w:rPr>
          <w:rFonts w:eastAsia="Calibri" w:cs="Arial"/>
          <w:szCs w:val="22"/>
          <w:lang w:eastAsia="en-US"/>
        </w:rPr>
        <w:t>important</w:t>
      </w:r>
      <w:r>
        <w:rPr>
          <w:rFonts w:eastAsia="Calibri" w:cs="Arial"/>
          <w:szCs w:val="22"/>
          <w:lang w:eastAsia="en-US"/>
        </w:rPr>
        <w:t xml:space="preserve"> that the AMHS </w:t>
      </w:r>
      <w:r w:rsidR="0097467C">
        <w:rPr>
          <w:rFonts w:eastAsia="Calibri" w:cs="Arial"/>
          <w:szCs w:val="22"/>
          <w:lang w:eastAsia="en-US"/>
        </w:rPr>
        <w:t>agrees to</w:t>
      </w:r>
      <w:r>
        <w:rPr>
          <w:rFonts w:eastAsia="Calibri" w:cs="Arial"/>
          <w:szCs w:val="22"/>
          <w:lang w:eastAsia="en-US"/>
        </w:rPr>
        <w:t xml:space="preserve"> the proposed transfer and this should be evidenced in writing (email confirmation or a letter from the Clinical Director of the AMHS </w:t>
      </w:r>
      <w:r w:rsidR="0097467C">
        <w:rPr>
          <w:rFonts w:eastAsia="Calibri" w:cs="Arial"/>
          <w:szCs w:val="22"/>
          <w:lang w:eastAsia="en-US"/>
        </w:rPr>
        <w:t>will suffice</w:t>
      </w:r>
      <w:r>
        <w:rPr>
          <w:rFonts w:eastAsia="Calibri" w:cs="Arial"/>
          <w:szCs w:val="22"/>
          <w:lang w:eastAsia="en-US"/>
        </w:rPr>
        <w:t>).</w:t>
      </w:r>
    </w:p>
    <w:p w14:paraId="2BE4BC7E" w14:textId="19DD2B6F" w:rsidR="007E50ED" w:rsidRPr="007E50ED" w:rsidRDefault="005308BC" w:rsidP="007E50ED">
      <w:pPr>
        <w:pStyle w:val="Heading2"/>
        <w:numPr>
          <w:ilvl w:val="0"/>
          <w:numId w:val="32"/>
        </w:numPr>
        <w:spacing w:after="160"/>
        <w:rPr>
          <w:rFonts w:eastAsia="Calibri"/>
          <w:sz w:val="22"/>
          <w:szCs w:val="22"/>
        </w:rPr>
      </w:pPr>
      <w:r w:rsidRPr="007E50ED">
        <w:rPr>
          <w:rFonts w:eastAsia="Calibri"/>
        </w:rPr>
        <w:t>R</w:t>
      </w:r>
      <w:r w:rsidR="007E50ED">
        <w:t xml:space="preserve">ole of the Director of Forensic </w:t>
      </w:r>
      <w:r w:rsidR="00E02256">
        <w:t>Disability</w:t>
      </w:r>
    </w:p>
    <w:p w14:paraId="3F322FB5" w14:textId="60FE9890" w:rsidR="005308BC" w:rsidRPr="007E50ED" w:rsidRDefault="005308BC" w:rsidP="007E50ED">
      <w:pPr>
        <w:jc w:val="both"/>
        <w:rPr>
          <w:rFonts w:eastAsia="Calibri"/>
        </w:rPr>
      </w:pPr>
      <w:r w:rsidRPr="007E50ED">
        <w:rPr>
          <w:rFonts w:eastAsia="Calibri"/>
        </w:rPr>
        <w:t xml:space="preserve">When the FDS is seeking to transfer responsibility of the client from the FDS to an AMHS by way of agreement, the FDS will need to obtain first the </w:t>
      </w:r>
      <w:r w:rsidR="003D4A2E">
        <w:rPr>
          <w:rFonts w:eastAsia="Calibri"/>
        </w:rPr>
        <w:t>support</w:t>
      </w:r>
      <w:r w:rsidR="003D4A2E" w:rsidRPr="007E50ED">
        <w:rPr>
          <w:rFonts w:eastAsia="Calibri"/>
        </w:rPr>
        <w:t xml:space="preserve"> </w:t>
      </w:r>
      <w:r w:rsidRPr="007E50ED">
        <w:rPr>
          <w:rFonts w:eastAsia="Calibri"/>
        </w:rPr>
        <w:t xml:space="preserve">of the Director of Forensic Disability. </w:t>
      </w:r>
    </w:p>
    <w:p w14:paraId="035D1404" w14:textId="1A142BB0" w:rsidR="005308BC" w:rsidRDefault="003D4A2E" w:rsidP="007E50ED">
      <w:pPr>
        <w:spacing w:after="160"/>
        <w:jc w:val="both"/>
        <w:rPr>
          <w:rFonts w:eastAsia="Calibri" w:cs="Arial"/>
          <w:szCs w:val="22"/>
          <w:lang w:eastAsia="en-US"/>
        </w:rPr>
      </w:pPr>
      <w:r>
        <w:rPr>
          <w:rFonts w:eastAsia="Calibri" w:cs="Arial"/>
          <w:szCs w:val="22"/>
          <w:lang w:eastAsia="en-US"/>
        </w:rPr>
        <w:t xml:space="preserve">Support </w:t>
      </w:r>
      <w:r w:rsidR="005308BC">
        <w:rPr>
          <w:rFonts w:eastAsia="Calibri" w:cs="Arial"/>
          <w:szCs w:val="22"/>
          <w:lang w:eastAsia="en-US"/>
        </w:rPr>
        <w:t xml:space="preserve">from the Director of Forensic Disability will only be obtained if the </w:t>
      </w:r>
      <w:r w:rsidR="005308BC" w:rsidRPr="0059226C">
        <w:rPr>
          <w:rFonts w:eastAsia="Calibri" w:cs="Arial"/>
          <w:bCs/>
          <w:szCs w:val="22"/>
          <w:lang w:eastAsia="en-US"/>
        </w:rPr>
        <w:t>Transfer Plan</w:t>
      </w:r>
      <w:r w:rsidR="005308BC">
        <w:rPr>
          <w:rFonts w:eastAsia="Calibri" w:cs="Arial"/>
          <w:szCs w:val="22"/>
          <w:lang w:eastAsia="en-US"/>
        </w:rPr>
        <w:t xml:space="preserve"> is reasonable, justified and addresses the future needs of the client. </w:t>
      </w:r>
    </w:p>
    <w:p w14:paraId="24D58817" w14:textId="1F90E451" w:rsidR="005308BC" w:rsidRDefault="005308BC" w:rsidP="007E50ED">
      <w:pPr>
        <w:spacing w:after="160"/>
        <w:jc w:val="both"/>
        <w:rPr>
          <w:rFonts w:eastAsia="Calibri" w:cs="Arial"/>
          <w:szCs w:val="22"/>
          <w:lang w:eastAsia="en-US"/>
        </w:rPr>
      </w:pPr>
      <w:r>
        <w:rPr>
          <w:rFonts w:eastAsia="Calibri" w:cs="Arial"/>
          <w:szCs w:val="22"/>
          <w:lang w:eastAsia="en-US"/>
        </w:rPr>
        <w:t>Once</w:t>
      </w:r>
      <w:r w:rsidR="009F7262">
        <w:rPr>
          <w:rFonts w:eastAsia="Calibri" w:cs="Arial"/>
          <w:szCs w:val="22"/>
          <w:lang w:eastAsia="en-US"/>
        </w:rPr>
        <w:t xml:space="preserve"> </w:t>
      </w:r>
      <w:r w:rsidR="003D4A2E">
        <w:rPr>
          <w:rFonts w:eastAsia="Calibri" w:cs="Arial"/>
          <w:szCs w:val="22"/>
          <w:lang w:eastAsia="en-US"/>
        </w:rPr>
        <w:t>support</w:t>
      </w:r>
      <w:r>
        <w:rPr>
          <w:rFonts w:eastAsia="Calibri" w:cs="Arial"/>
          <w:szCs w:val="22"/>
          <w:lang w:eastAsia="en-US"/>
        </w:rPr>
        <w:t xml:space="preserve"> is obtained from the Director of Forensic Disability, the Director of Forensic Disability will seek the agreement of the Chief Psychiatrist. If agreement is obtained, responsibility for the client will be transferred to the receiving AMHS and the client will exit the FDS on a nominated date. </w:t>
      </w:r>
    </w:p>
    <w:p w14:paraId="2ED29B65" w14:textId="37660610" w:rsidR="009F7262" w:rsidRDefault="005308BC" w:rsidP="007E50ED">
      <w:pPr>
        <w:spacing w:after="160"/>
        <w:jc w:val="both"/>
        <w:rPr>
          <w:rFonts w:eastAsia="Calibri" w:cs="Arial"/>
          <w:szCs w:val="22"/>
          <w:lang w:eastAsia="en-US"/>
        </w:rPr>
      </w:pPr>
      <w:r>
        <w:rPr>
          <w:rFonts w:eastAsia="Calibri" w:cs="Arial"/>
          <w:szCs w:val="22"/>
          <w:lang w:eastAsia="en-US"/>
        </w:rPr>
        <w:t xml:space="preserve">In the absence of an agreement to transfer between the Director of Forensic Disability and the Chief Psychiatrist, the Director of Forensic Disability, as a party to MHRT hearings, has the option to make an application to the MHRT for the transfer of responsibility of a client to an AMHS. The Director of Forensic Disability will consider the merits of making such an application on a case by case basis.  </w:t>
      </w:r>
    </w:p>
    <w:p w14:paraId="60035B25" w14:textId="77777777" w:rsidR="009F7262" w:rsidRDefault="009F7262">
      <w:pPr>
        <w:spacing w:after="0"/>
        <w:rPr>
          <w:rFonts w:eastAsia="Calibri" w:cs="Arial"/>
          <w:szCs w:val="22"/>
          <w:lang w:eastAsia="en-US"/>
        </w:rPr>
      </w:pPr>
      <w:r>
        <w:rPr>
          <w:rFonts w:eastAsia="Calibri" w:cs="Arial"/>
          <w:szCs w:val="22"/>
          <w:lang w:eastAsia="en-US"/>
        </w:rPr>
        <w:br w:type="page"/>
      </w:r>
    </w:p>
    <w:p w14:paraId="5762AA08" w14:textId="10E16BD2" w:rsidR="00861193" w:rsidRPr="00B966AD" w:rsidRDefault="00861193" w:rsidP="00861193">
      <w:pPr>
        <w:tabs>
          <w:tab w:val="left" w:pos="2552"/>
        </w:tabs>
        <w:spacing w:before="360"/>
      </w:pPr>
      <w:r w:rsidRPr="00B966AD">
        <w:rPr>
          <w:b/>
        </w:rPr>
        <w:lastRenderedPageBreak/>
        <w:t>Date of approval:</w:t>
      </w:r>
      <w:r w:rsidR="005308BC">
        <w:tab/>
      </w:r>
      <w:r w:rsidR="009D4597">
        <w:t>09</w:t>
      </w:r>
      <w:r w:rsidR="009D4597" w:rsidRPr="00B966AD">
        <w:t xml:space="preserve"> </w:t>
      </w:r>
      <w:r w:rsidR="009D4597">
        <w:t>January</w:t>
      </w:r>
      <w:r w:rsidR="009D4597" w:rsidRPr="00B966AD">
        <w:t xml:space="preserve"> 202</w:t>
      </w:r>
      <w:r w:rsidR="009D4597">
        <w:t>3</w:t>
      </w:r>
    </w:p>
    <w:p w14:paraId="7F21D20A" w14:textId="0A090492" w:rsidR="00861193" w:rsidRPr="00B966AD" w:rsidRDefault="00861193" w:rsidP="00861193">
      <w:pPr>
        <w:tabs>
          <w:tab w:val="left" w:pos="2552"/>
        </w:tabs>
      </w:pPr>
      <w:r w:rsidRPr="00B966AD">
        <w:rPr>
          <w:b/>
        </w:rPr>
        <w:t>Date of operation:</w:t>
      </w:r>
      <w:r w:rsidR="00204104">
        <w:tab/>
      </w:r>
      <w:r w:rsidR="009D4597">
        <w:t>01</w:t>
      </w:r>
      <w:r w:rsidR="009D4597" w:rsidRPr="00B966AD">
        <w:t xml:space="preserve"> </w:t>
      </w:r>
      <w:r w:rsidR="009D4597">
        <w:t>February</w:t>
      </w:r>
      <w:r w:rsidR="009D4597" w:rsidRPr="00B966AD">
        <w:t xml:space="preserve"> 202</w:t>
      </w:r>
      <w:r w:rsidR="009D4597">
        <w:t>3</w:t>
      </w:r>
    </w:p>
    <w:p w14:paraId="4F83C15E" w14:textId="1D2967B5" w:rsidR="00861193" w:rsidRPr="00B966AD" w:rsidRDefault="00861193" w:rsidP="00861193">
      <w:pPr>
        <w:pBdr>
          <w:bottom w:val="single" w:sz="6" w:space="1" w:color="auto"/>
        </w:pBdr>
        <w:tabs>
          <w:tab w:val="left" w:pos="2552"/>
        </w:tabs>
      </w:pPr>
      <w:r w:rsidRPr="00B966AD">
        <w:rPr>
          <w:b/>
        </w:rPr>
        <w:t>Date to be reviewed:</w:t>
      </w:r>
      <w:r w:rsidRPr="00B966AD">
        <w:tab/>
      </w:r>
      <w:r w:rsidR="009D4597">
        <w:t>01</w:t>
      </w:r>
      <w:r w:rsidR="008645A8" w:rsidRPr="00B966AD">
        <w:t xml:space="preserve"> </w:t>
      </w:r>
      <w:r w:rsidR="009D4597">
        <w:t>February</w:t>
      </w:r>
      <w:r w:rsidR="009D4597" w:rsidRPr="00B966AD">
        <w:t xml:space="preserve"> </w:t>
      </w:r>
      <w:r w:rsidRPr="00B966AD">
        <w:t>202</w:t>
      </w:r>
      <w:r w:rsidR="00623FF5">
        <w:t>6</w:t>
      </w:r>
    </w:p>
    <w:p w14:paraId="0C9E172E" w14:textId="09620F31" w:rsidR="00861193" w:rsidRPr="00B966AD" w:rsidRDefault="00623FF5" w:rsidP="00861193">
      <w:pPr>
        <w:tabs>
          <w:tab w:val="left" w:pos="2552"/>
        </w:tabs>
      </w:pPr>
      <w:r>
        <w:rPr>
          <w:b/>
        </w:rPr>
        <w:t>Designation</w:t>
      </w:r>
      <w:r w:rsidR="00861193" w:rsidRPr="00B966AD">
        <w:rPr>
          <w:b/>
        </w:rPr>
        <w:t>:</w:t>
      </w:r>
      <w:r w:rsidR="00861193" w:rsidRPr="00B966AD">
        <w:tab/>
        <w:t>Director of Forensic Disability</w:t>
      </w:r>
    </w:p>
    <w:p w14:paraId="27EC05FF" w14:textId="6E112500" w:rsidR="00861193" w:rsidRPr="00B966AD" w:rsidRDefault="00861193" w:rsidP="00861193">
      <w:pPr>
        <w:pBdr>
          <w:bottom w:val="single" w:sz="6" w:space="1" w:color="auto"/>
        </w:pBdr>
        <w:tabs>
          <w:tab w:val="left" w:pos="2552"/>
        </w:tabs>
      </w:pPr>
      <w:r w:rsidRPr="00B966AD">
        <w:rPr>
          <w:b/>
        </w:rPr>
        <w:t>Help Contact:</w:t>
      </w:r>
      <w:r w:rsidRPr="00B966AD">
        <w:tab/>
      </w:r>
      <w:hyperlink r:id="rId8" w:history="1">
        <w:r w:rsidR="00623FF5">
          <w:rPr>
            <w:color w:val="0000FF" w:themeColor="hyperlink"/>
            <w:u w:val="single"/>
          </w:rPr>
          <w:t>directorforensicdisability@dsdsatsip.qld.gov.au</w:t>
        </w:r>
      </w:hyperlink>
    </w:p>
    <w:p w14:paraId="3140DA10" w14:textId="6E32CF13" w:rsidR="00A72C57" w:rsidRPr="00A72C57" w:rsidRDefault="00861193" w:rsidP="00A72C57">
      <w:pPr>
        <w:rPr>
          <w:lang w:val="en-US"/>
        </w:rPr>
      </w:pPr>
      <w:r w:rsidRPr="00B966AD">
        <w:rPr>
          <w:bCs/>
          <w:sz w:val="24"/>
        </w:rPr>
        <w:t>Jenny Lynas</w:t>
      </w:r>
      <w:r w:rsidRPr="00B966AD">
        <w:rPr>
          <w:bCs/>
          <w:sz w:val="24"/>
        </w:rPr>
        <w:br/>
        <w:t>Director of Forensic Disability</w:t>
      </w:r>
    </w:p>
    <w:sectPr w:rsidR="00A72C57"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0B06EF" w:rsidRDefault="000B06EF">
      <w:r>
        <w:separator/>
      </w:r>
    </w:p>
  </w:endnote>
  <w:endnote w:type="continuationSeparator" w:id="0">
    <w:p w14:paraId="61D85089" w14:textId="77777777" w:rsidR="000B06EF" w:rsidRDefault="000B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951238">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0B06EF" w:rsidRDefault="000B06EF">
      <w:r>
        <w:separator/>
      </w:r>
    </w:p>
  </w:footnote>
  <w:footnote w:type="continuationSeparator" w:id="0">
    <w:p w14:paraId="2110855A" w14:textId="77777777" w:rsidR="000B06EF" w:rsidRDefault="000B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3A4"/>
    <w:multiLevelType w:val="hybridMultilevel"/>
    <w:tmpl w:val="FD204B58"/>
    <w:lvl w:ilvl="0" w:tplc="D6BA18F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195E52"/>
    <w:multiLevelType w:val="hybridMultilevel"/>
    <w:tmpl w:val="93ACC3C8"/>
    <w:lvl w:ilvl="0" w:tplc="D6BA18FC">
      <w:start w:val="1"/>
      <w:numFmt w:val="bullet"/>
      <w:lvlText w:val=""/>
      <w:lvlJc w:val="left"/>
      <w:pPr>
        <w:ind w:left="1006" w:hanging="362"/>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F3562E"/>
    <w:multiLevelType w:val="hybridMultilevel"/>
    <w:tmpl w:val="B3C0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A1033"/>
    <w:multiLevelType w:val="hybridMultilevel"/>
    <w:tmpl w:val="723A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23317"/>
    <w:multiLevelType w:val="hybridMultilevel"/>
    <w:tmpl w:val="435EC43A"/>
    <w:lvl w:ilvl="0" w:tplc="96F6D6A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A7212"/>
    <w:multiLevelType w:val="hybridMultilevel"/>
    <w:tmpl w:val="0D9EA50A"/>
    <w:lvl w:ilvl="0" w:tplc="22F8E9A6">
      <w:start w:val="1"/>
      <w:numFmt w:val="decimal"/>
      <w:lvlText w:val="%1."/>
      <w:lvlJc w:val="left"/>
      <w:pPr>
        <w:ind w:left="646" w:hanging="64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C3691E"/>
    <w:multiLevelType w:val="hybridMultilevel"/>
    <w:tmpl w:val="2050E4CE"/>
    <w:lvl w:ilvl="0" w:tplc="0BCE4EFA">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833F3A"/>
    <w:multiLevelType w:val="hybridMultilevel"/>
    <w:tmpl w:val="9E7EB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74C5F"/>
    <w:multiLevelType w:val="hybridMultilevel"/>
    <w:tmpl w:val="2304D18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9" w15:restartNumberingAfterBreak="0">
    <w:nsid w:val="2624757B"/>
    <w:multiLevelType w:val="hybridMultilevel"/>
    <w:tmpl w:val="43D0CE30"/>
    <w:lvl w:ilvl="0" w:tplc="8B28E0B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7383F65"/>
    <w:multiLevelType w:val="hybridMultilevel"/>
    <w:tmpl w:val="6A408DC2"/>
    <w:lvl w:ilvl="0" w:tplc="D6BA18FC">
      <w:start w:val="1"/>
      <w:numFmt w:val="bullet"/>
      <w:lvlText w:val=""/>
      <w:lvlJc w:val="left"/>
      <w:pPr>
        <w:ind w:left="1006" w:hanging="362"/>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14E4D23"/>
    <w:multiLevelType w:val="hybridMultilevel"/>
    <w:tmpl w:val="2A98855C"/>
    <w:lvl w:ilvl="0" w:tplc="60228BD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6F306E"/>
    <w:multiLevelType w:val="multilevel"/>
    <w:tmpl w:val="82E07450"/>
    <w:lvl w:ilvl="0">
      <w:start w:val="1"/>
      <w:numFmt w:val="decimal"/>
      <w:lvlText w:val="%1."/>
      <w:lvlJc w:val="left"/>
      <w:pPr>
        <w:ind w:left="646" w:hanging="646"/>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2477BDA"/>
    <w:multiLevelType w:val="hybridMultilevel"/>
    <w:tmpl w:val="BF245498"/>
    <w:lvl w:ilvl="0" w:tplc="8118F6E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3C13857"/>
    <w:multiLevelType w:val="hybridMultilevel"/>
    <w:tmpl w:val="3D762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3F573B"/>
    <w:multiLevelType w:val="hybridMultilevel"/>
    <w:tmpl w:val="A1C44CDA"/>
    <w:lvl w:ilvl="0" w:tplc="80E65B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615152"/>
    <w:multiLevelType w:val="hybridMultilevel"/>
    <w:tmpl w:val="29503F22"/>
    <w:lvl w:ilvl="0" w:tplc="D5EE81C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0FF3AB0"/>
    <w:multiLevelType w:val="hybridMultilevel"/>
    <w:tmpl w:val="28D849DA"/>
    <w:lvl w:ilvl="0" w:tplc="B3B48086">
      <w:start w:val="1"/>
      <w:numFmt w:val="bullet"/>
      <w:lvlText w:val=""/>
      <w:lvlJc w:val="left"/>
      <w:pPr>
        <w:ind w:left="1006" w:hanging="36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642AB6"/>
    <w:multiLevelType w:val="hybridMultilevel"/>
    <w:tmpl w:val="733A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C728B"/>
    <w:multiLevelType w:val="hybridMultilevel"/>
    <w:tmpl w:val="02363222"/>
    <w:lvl w:ilvl="0" w:tplc="23A8400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93360BC"/>
    <w:multiLevelType w:val="hybridMultilevel"/>
    <w:tmpl w:val="E6F842BC"/>
    <w:lvl w:ilvl="0" w:tplc="1E562BBA">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A026FBC"/>
    <w:multiLevelType w:val="hybridMultilevel"/>
    <w:tmpl w:val="3638822C"/>
    <w:lvl w:ilvl="0" w:tplc="2C2843D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09765B"/>
    <w:multiLevelType w:val="hybridMultilevel"/>
    <w:tmpl w:val="B3EC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D001C"/>
    <w:multiLevelType w:val="multilevel"/>
    <w:tmpl w:val="82E07450"/>
    <w:lvl w:ilvl="0">
      <w:start w:val="1"/>
      <w:numFmt w:val="decimal"/>
      <w:lvlText w:val="%1."/>
      <w:lvlJc w:val="left"/>
      <w:pPr>
        <w:ind w:left="646" w:hanging="646"/>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6B94453"/>
    <w:multiLevelType w:val="hybridMultilevel"/>
    <w:tmpl w:val="877E719E"/>
    <w:lvl w:ilvl="0" w:tplc="FE547F8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B8D6DE6"/>
    <w:multiLevelType w:val="hybridMultilevel"/>
    <w:tmpl w:val="B288A5E2"/>
    <w:lvl w:ilvl="0" w:tplc="7FF20C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C67587"/>
    <w:multiLevelType w:val="hybridMultilevel"/>
    <w:tmpl w:val="C5C6F5A8"/>
    <w:lvl w:ilvl="0" w:tplc="BFF248DC">
      <w:start w:val="1"/>
      <w:numFmt w:val="bullet"/>
      <w:lvlText w:val=""/>
      <w:lvlJc w:val="left"/>
      <w:pPr>
        <w:ind w:left="646" w:hanging="362"/>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E151E93"/>
    <w:multiLevelType w:val="multilevel"/>
    <w:tmpl w:val="CC6602D2"/>
    <w:lvl w:ilvl="0">
      <w:start w:val="1"/>
      <w:numFmt w:val="decimal"/>
      <w:lvlText w:val="%1."/>
      <w:lvlJc w:val="left"/>
      <w:pPr>
        <w:ind w:left="646" w:hanging="646"/>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2047531"/>
    <w:multiLevelType w:val="hybridMultilevel"/>
    <w:tmpl w:val="1312EA9E"/>
    <w:lvl w:ilvl="0" w:tplc="47D04DB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4BE26AB"/>
    <w:multiLevelType w:val="hybridMultilevel"/>
    <w:tmpl w:val="66C40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72376"/>
    <w:multiLevelType w:val="hybridMultilevel"/>
    <w:tmpl w:val="51B281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93E48EB"/>
    <w:multiLevelType w:val="hybridMultilevel"/>
    <w:tmpl w:val="3BFA76D4"/>
    <w:lvl w:ilvl="0" w:tplc="4E2A33CE">
      <w:start w:val="1"/>
      <w:numFmt w:val="lowerLetter"/>
      <w:lvlText w:val="%1)"/>
      <w:lvlJc w:val="left"/>
      <w:pPr>
        <w:ind w:left="646" w:hanging="362"/>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8706F1"/>
    <w:multiLevelType w:val="hybridMultilevel"/>
    <w:tmpl w:val="DF10F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4F0AFF"/>
    <w:multiLevelType w:val="hybridMultilevel"/>
    <w:tmpl w:val="FBA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D41A75"/>
    <w:multiLevelType w:val="hybridMultilevel"/>
    <w:tmpl w:val="4F1E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F428AF"/>
    <w:multiLevelType w:val="hybridMultilevel"/>
    <w:tmpl w:val="8872FE34"/>
    <w:lvl w:ilvl="0" w:tplc="0FA6A6C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86C0FA8"/>
    <w:multiLevelType w:val="multilevel"/>
    <w:tmpl w:val="CC6602D2"/>
    <w:lvl w:ilvl="0">
      <w:start w:val="1"/>
      <w:numFmt w:val="decimal"/>
      <w:lvlText w:val="%1."/>
      <w:lvlJc w:val="left"/>
      <w:pPr>
        <w:ind w:left="646" w:hanging="646"/>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C20184A"/>
    <w:multiLevelType w:val="hybridMultilevel"/>
    <w:tmpl w:val="F37A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F63867"/>
    <w:multiLevelType w:val="hybridMultilevel"/>
    <w:tmpl w:val="DF4E5640"/>
    <w:lvl w:ilvl="0" w:tplc="FCF258B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37"/>
  </w:num>
  <w:num w:numId="4">
    <w:abstractNumId w:val="19"/>
  </w:num>
  <w:num w:numId="5">
    <w:abstractNumId w:val="23"/>
  </w:num>
  <w:num w:numId="6">
    <w:abstractNumId w:val="28"/>
  </w:num>
  <w:num w:numId="7">
    <w:abstractNumId w:val="38"/>
  </w:num>
  <w:num w:numId="8">
    <w:abstractNumId w:val="9"/>
  </w:num>
  <w:num w:numId="9">
    <w:abstractNumId w:val="20"/>
  </w:num>
  <w:num w:numId="10">
    <w:abstractNumId w:val="21"/>
  </w:num>
  <w:num w:numId="11">
    <w:abstractNumId w:val="16"/>
  </w:num>
  <w:num w:numId="12">
    <w:abstractNumId w:val="24"/>
  </w:num>
  <w:num w:numId="13">
    <w:abstractNumId w:val="35"/>
  </w:num>
  <w:num w:numId="14">
    <w:abstractNumId w:val="13"/>
  </w:num>
  <w:num w:numId="15">
    <w:abstractNumId w:val="6"/>
  </w:num>
  <w:num w:numId="16">
    <w:abstractNumId w:val="30"/>
  </w:num>
  <w:num w:numId="17">
    <w:abstractNumId w:val="14"/>
  </w:num>
  <w:num w:numId="18">
    <w:abstractNumId w:val="2"/>
  </w:num>
  <w:num w:numId="19">
    <w:abstractNumId w:val="22"/>
  </w:num>
  <w:num w:numId="20">
    <w:abstractNumId w:val="4"/>
  </w:num>
  <w:num w:numId="21">
    <w:abstractNumId w:val="34"/>
  </w:num>
  <w:num w:numId="22">
    <w:abstractNumId w:val="3"/>
  </w:num>
  <w:num w:numId="23">
    <w:abstractNumId w:val="33"/>
  </w:num>
  <w:num w:numId="24">
    <w:abstractNumId w:val="8"/>
  </w:num>
  <w:num w:numId="25">
    <w:abstractNumId w:val="31"/>
  </w:num>
  <w:num w:numId="26">
    <w:abstractNumId w:val="32"/>
  </w:num>
  <w:num w:numId="27">
    <w:abstractNumId w:val="29"/>
  </w:num>
  <w:num w:numId="28">
    <w:abstractNumId w:val="15"/>
  </w:num>
  <w:num w:numId="29">
    <w:abstractNumId w:val="11"/>
  </w:num>
  <w:num w:numId="30">
    <w:abstractNumId w:val="12"/>
  </w:num>
  <w:num w:numId="31">
    <w:abstractNumId w:val="5"/>
  </w:num>
  <w:num w:numId="32">
    <w:abstractNumId w:val="36"/>
  </w:num>
  <w:num w:numId="33">
    <w:abstractNumId w:val="0"/>
  </w:num>
  <w:num w:numId="34">
    <w:abstractNumId w:val="1"/>
  </w:num>
  <w:num w:numId="35">
    <w:abstractNumId w:val="10"/>
  </w:num>
  <w:num w:numId="36">
    <w:abstractNumId w:val="17"/>
  </w:num>
  <w:num w:numId="37">
    <w:abstractNumId w:val="26"/>
  </w:num>
  <w:num w:numId="38">
    <w:abstractNumId w:val="25"/>
  </w:num>
  <w:num w:numId="3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418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93B"/>
    <w:rsid w:val="00102380"/>
    <w:rsid w:val="001023B6"/>
    <w:rsid w:val="00103554"/>
    <w:rsid w:val="00103E62"/>
    <w:rsid w:val="0010628E"/>
    <w:rsid w:val="00106CAC"/>
    <w:rsid w:val="0011106E"/>
    <w:rsid w:val="00113485"/>
    <w:rsid w:val="0011517B"/>
    <w:rsid w:val="00115766"/>
    <w:rsid w:val="00115E04"/>
    <w:rsid w:val="00117319"/>
    <w:rsid w:val="001173AF"/>
    <w:rsid w:val="0012336C"/>
    <w:rsid w:val="00125A9E"/>
    <w:rsid w:val="00127308"/>
    <w:rsid w:val="00127821"/>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3F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110F"/>
    <w:rsid w:val="001731B9"/>
    <w:rsid w:val="001735DD"/>
    <w:rsid w:val="00176532"/>
    <w:rsid w:val="00177212"/>
    <w:rsid w:val="0018163E"/>
    <w:rsid w:val="00181B72"/>
    <w:rsid w:val="00182176"/>
    <w:rsid w:val="0018232C"/>
    <w:rsid w:val="00182717"/>
    <w:rsid w:val="00182E7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4104"/>
    <w:rsid w:val="0020536F"/>
    <w:rsid w:val="002056E6"/>
    <w:rsid w:val="00205967"/>
    <w:rsid w:val="0020637E"/>
    <w:rsid w:val="0021215B"/>
    <w:rsid w:val="002140B9"/>
    <w:rsid w:val="002203A6"/>
    <w:rsid w:val="00226951"/>
    <w:rsid w:val="00226BFA"/>
    <w:rsid w:val="00226D91"/>
    <w:rsid w:val="00230F7C"/>
    <w:rsid w:val="002313BE"/>
    <w:rsid w:val="002314C8"/>
    <w:rsid w:val="00232FAE"/>
    <w:rsid w:val="00233842"/>
    <w:rsid w:val="00234730"/>
    <w:rsid w:val="00234764"/>
    <w:rsid w:val="002358C4"/>
    <w:rsid w:val="00237370"/>
    <w:rsid w:val="00240804"/>
    <w:rsid w:val="00240EC4"/>
    <w:rsid w:val="00240ED8"/>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4071"/>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BC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3F62"/>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4D6"/>
    <w:rsid w:val="003C558F"/>
    <w:rsid w:val="003C62C9"/>
    <w:rsid w:val="003D25AA"/>
    <w:rsid w:val="003D3801"/>
    <w:rsid w:val="003D4A2E"/>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24D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0D6D"/>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0720"/>
    <w:rsid w:val="005214B5"/>
    <w:rsid w:val="00521762"/>
    <w:rsid w:val="00521C0C"/>
    <w:rsid w:val="00522CC0"/>
    <w:rsid w:val="005249BA"/>
    <w:rsid w:val="00524DC3"/>
    <w:rsid w:val="00526029"/>
    <w:rsid w:val="00526412"/>
    <w:rsid w:val="00526F4C"/>
    <w:rsid w:val="005278BF"/>
    <w:rsid w:val="005303BE"/>
    <w:rsid w:val="00530757"/>
    <w:rsid w:val="005308BC"/>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493F"/>
    <w:rsid w:val="00576DAC"/>
    <w:rsid w:val="00577583"/>
    <w:rsid w:val="0057782F"/>
    <w:rsid w:val="005800C0"/>
    <w:rsid w:val="00583995"/>
    <w:rsid w:val="0058466C"/>
    <w:rsid w:val="00585815"/>
    <w:rsid w:val="00586A1C"/>
    <w:rsid w:val="00587104"/>
    <w:rsid w:val="005874CA"/>
    <w:rsid w:val="005907C1"/>
    <w:rsid w:val="00590D0C"/>
    <w:rsid w:val="0059226C"/>
    <w:rsid w:val="00592779"/>
    <w:rsid w:val="00592C1A"/>
    <w:rsid w:val="005955DB"/>
    <w:rsid w:val="005A21C3"/>
    <w:rsid w:val="005A322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B55CE"/>
    <w:rsid w:val="005C36AF"/>
    <w:rsid w:val="005C3877"/>
    <w:rsid w:val="005C6478"/>
    <w:rsid w:val="005C6D12"/>
    <w:rsid w:val="005C6E87"/>
    <w:rsid w:val="005D1221"/>
    <w:rsid w:val="005D2EDE"/>
    <w:rsid w:val="005D5996"/>
    <w:rsid w:val="005D64E0"/>
    <w:rsid w:val="005D6DBA"/>
    <w:rsid w:val="005D6F9D"/>
    <w:rsid w:val="005D7494"/>
    <w:rsid w:val="005D7565"/>
    <w:rsid w:val="005D7BCE"/>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084A"/>
    <w:rsid w:val="00621815"/>
    <w:rsid w:val="0062185B"/>
    <w:rsid w:val="0062267C"/>
    <w:rsid w:val="00623463"/>
    <w:rsid w:val="00623FF5"/>
    <w:rsid w:val="0062449B"/>
    <w:rsid w:val="006247E7"/>
    <w:rsid w:val="006250D4"/>
    <w:rsid w:val="00627C93"/>
    <w:rsid w:val="00632380"/>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4EB2"/>
    <w:rsid w:val="00685DEE"/>
    <w:rsid w:val="00687024"/>
    <w:rsid w:val="00687A7A"/>
    <w:rsid w:val="00691EEB"/>
    <w:rsid w:val="00692A07"/>
    <w:rsid w:val="006953F5"/>
    <w:rsid w:val="00696638"/>
    <w:rsid w:val="00696E82"/>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37FB"/>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DA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0ED"/>
    <w:rsid w:val="007E6051"/>
    <w:rsid w:val="007E6D51"/>
    <w:rsid w:val="007E746F"/>
    <w:rsid w:val="007F0A00"/>
    <w:rsid w:val="007F1061"/>
    <w:rsid w:val="007F3188"/>
    <w:rsid w:val="007F33EA"/>
    <w:rsid w:val="007F34E7"/>
    <w:rsid w:val="007F3EE5"/>
    <w:rsid w:val="007F60E6"/>
    <w:rsid w:val="007F6D99"/>
    <w:rsid w:val="007F6F47"/>
    <w:rsid w:val="007F7701"/>
    <w:rsid w:val="007F7F54"/>
    <w:rsid w:val="00800B1D"/>
    <w:rsid w:val="008026D3"/>
    <w:rsid w:val="008042B2"/>
    <w:rsid w:val="00806966"/>
    <w:rsid w:val="00806E6A"/>
    <w:rsid w:val="00811199"/>
    <w:rsid w:val="00811DC7"/>
    <w:rsid w:val="00813F77"/>
    <w:rsid w:val="008224EC"/>
    <w:rsid w:val="0082310B"/>
    <w:rsid w:val="00824263"/>
    <w:rsid w:val="00825EF8"/>
    <w:rsid w:val="00826D5F"/>
    <w:rsid w:val="00826F29"/>
    <w:rsid w:val="00827576"/>
    <w:rsid w:val="00830AD5"/>
    <w:rsid w:val="00831F43"/>
    <w:rsid w:val="00833259"/>
    <w:rsid w:val="0083400D"/>
    <w:rsid w:val="00835CED"/>
    <w:rsid w:val="0083721F"/>
    <w:rsid w:val="0084060F"/>
    <w:rsid w:val="008408EA"/>
    <w:rsid w:val="008412FE"/>
    <w:rsid w:val="008427ED"/>
    <w:rsid w:val="008428FC"/>
    <w:rsid w:val="0084362D"/>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1193"/>
    <w:rsid w:val="0086202D"/>
    <w:rsid w:val="00863899"/>
    <w:rsid w:val="008639A2"/>
    <w:rsid w:val="008645A8"/>
    <w:rsid w:val="0086739B"/>
    <w:rsid w:val="008675B4"/>
    <w:rsid w:val="00870796"/>
    <w:rsid w:val="00871110"/>
    <w:rsid w:val="00872CD3"/>
    <w:rsid w:val="0087325B"/>
    <w:rsid w:val="0087587B"/>
    <w:rsid w:val="00875BDF"/>
    <w:rsid w:val="008765E5"/>
    <w:rsid w:val="00880216"/>
    <w:rsid w:val="00880E55"/>
    <w:rsid w:val="008815F0"/>
    <w:rsid w:val="00881E63"/>
    <w:rsid w:val="008827DB"/>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3C5A"/>
    <w:rsid w:val="008A414F"/>
    <w:rsid w:val="008A525C"/>
    <w:rsid w:val="008A5A89"/>
    <w:rsid w:val="008A7BAA"/>
    <w:rsid w:val="008B3922"/>
    <w:rsid w:val="008B430D"/>
    <w:rsid w:val="008B556D"/>
    <w:rsid w:val="008B6BFF"/>
    <w:rsid w:val="008C0ABC"/>
    <w:rsid w:val="008C0D8D"/>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43E"/>
    <w:rsid w:val="009127D5"/>
    <w:rsid w:val="009135D9"/>
    <w:rsid w:val="00915B01"/>
    <w:rsid w:val="00915B9A"/>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238"/>
    <w:rsid w:val="00951F5B"/>
    <w:rsid w:val="00954CB5"/>
    <w:rsid w:val="00955A9B"/>
    <w:rsid w:val="00960C4C"/>
    <w:rsid w:val="00961ABE"/>
    <w:rsid w:val="009621E2"/>
    <w:rsid w:val="00962F6E"/>
    <w:rsid w:val="009630C3"/>
    <w:rsid w:val="0096492F"/>
    <w:rsid w:val="00964E50"/>
    <w:rsid w:val="00966553"/>
    <w:rsid w:val="009702D6"/>
    <w:rsid w:val="00972A76"/>
    <w:rsid w:val="00974484"/>
    <w:rsid w:val="0097467C"/>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4597"/>
    <w:rsid w:val="009D7997"/>
    <w:rsid w:val="009D7D13"/>
    <w:rsid w:val="009E05C7"/>
    <w:rsid w:val="009E19D5"/>
    <w:rsid w:val="009E240E"/>
    <w:rsid w:val="009E499C"/>
    <w:rsid w:val="009E4E93"/>
    <w:rsid w:val="009E73B5"/>
    <w:rsid w:val="009F06BB"/>
    <w:rsid w:val="009F3AAE"/>
    <w:rsid w:val="009F503F"/>
    <w:rsid w:val="009F7262"/>
    <w:rsid w:val="00A01078"/>
    <w:rsid w:val="00A01C47"/>
    <w:rsid w:val="00A01C84"/>
    <w:rsid w:val="00A02B2B"/>
    <w:rsid w:val="00A03D81"/>
    <w:rsid w:val="00A05917"/>
    <w:rsid w:val="00A0606D"/>
    <w:rsid w:val="00A0662B"/>
    <w:rsid w:val="00A07AD7"/>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85B1E"/>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283"/>
    <w:rsid w:val="00AD57FB"/>
    <w:rsid w:val="00AD6214"/>
    <w:rsid w:val="00AD6F72"/>
    <w:rsid w:val="00AD71B8"/>
    <w:rsid w:val="00AD7CD5"/>
    <w:rsid w:val="00AE03C9"/>
    <w:rsid w:val="00AE2453"/>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6A3"/>
    <w:rsid w:val="00B83AE6"/>
    <w:rsid w:val="00B867F4"/>
    <w:rsid w:val="00B8749B"/>
    <w:rsid w:val="00B9011B"/>
    <w:rsid w:val="00B903EE"/>
    <w:rsid w:val="00B90A91"/>
    <w:rsid w:val="00B91B2F"/>
    <w:rsid w:val="00B91D6E"/>
    <w:rsid w:val="00B933CA"/>
    <w:rsid w:val="00B9371E"/>
    <w:rsid w:val="00B93A20"/>
    <w:rsid w:val="00B93E3F"/>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E782B"/>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29B"/>
    <w:rsid w:val="00C428D2"/>
    <w:rsid w:val="00C43AD6"/>
    <w:rsid w:val="00C45747"/>
    <w:rsid w:val="00C46305"/>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313A"/>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17B8"/>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C8D"/>
    <w:rsid w:val="00CF3FAB"/>
    <w:rsid w:val="00CF45A4"/>
    <w:rsid w:val="00CF67EC"/>
    <w:rsid w:val="00CF6E62"/>
    <w:rsid w:val="00D003D7"/>
    <w:rsid w:val="00D018CC"/>
    <w:rsid w:val="00D06B42"/>
    <w:rsid w:val="00D06F34"/>
    <w:rsid w:val="00D10BB5"/>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6A8C"/>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4100"/>
    <w:rsid w:val="00DB6115"/>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2256"/>
    <w:rsid w:val="00E04F3C"/>
    <w:rsid w:val="00E06A09"/>
    <w:rsid w:val="00E071FA"/>
    <w:rsid w:val="00E112EE"/>
    <w:rsid w:val="00E12952"/>
    <w:rsid w:val="00E13BD1"/>
    <w:rsid w:val="00E13D12"/>
    <w:rsid w:val="00E16BEC"/>
    <w:rsid w:val="00E203E1"/>
    <w:rsid w:val="00E213CF"/>
    <w:rsid w:val="00E2412D"/>
    <w:rsid w:val="00E253E4"/>
    <w:rsid w:val="00E254FA"/>
    <w:rsid w:val="00E26DA9"/>
    <w:rsid w:val="00E27B6C"/>
    <w:rsid w:val="00E30521"/>
    <w:rsid w:val="00E313FC"/>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470"/>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5B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5EAE"/>
    <w:rsid w:val="00ED5249"/>
    <w:rsid w:val="00ED7396"/>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7AC"/>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C5717"/>
    <w:rsid w:val="00FD281A"/>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204104"/>
    <w:pPr>
      <w:suppressAutoHyphens/>
      <w:spacing w:before="200" w:after="200"/>
      <w:ind w:left="0"/>
      <w:jc w:val="both"/>
      <w:outlineLvl w:val="1"/>
    </w:pPr>
    <w:rPr>
      <w:rFonts w:cs="Arial"/>
      <w:b/>
      <w:sz w:val="24"/>
    </w:rPr>
  </w:style>
  <w:style w:type="paragraph" w:styleId="Heading3">
    <w:name w:val="heading 3"/>
    <w:basedOn w:val="Normal"/>
    <w:next w:val="Normal"/>
    <w:qFormat/>
    <w:rsid w:val="00691EEB"/>
    <w:pPr>
      <w:tabs>
        <w:tab w:val="left" w:pos="567"/>
      </w:tabs>
      <w:suppressAutoHyphens/>
      <w:spacing w:after="120"/>
      <w:jc w:val="both"/>
      <w:outlineLvl w:val="2"/>
    </w:pPr>
    <w:rPr>
      <w:rFonts w:cs="Arial"/>
      <w:b/>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7D1C-2D83-427B-8487-D6106472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2078</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Transfer of Responsibility and Exit from the Forensic Disability Service</vt:lpstr>
    </vt:vector>
  </TitlesOfParts>
  <Manager/>
  <Company>Queensland Government</Company>
  <LinksUpToDate>false</LinksUpToDate>
  <CharactersWithSpaces>13169</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Responsibility and Exit from the Forensic Disability Service</dc:title>
  <dc:subject>Transfer of Responsibility and Exit from the Forensic Disability Service Procedure</dc:subject>
  <dc:creator>Director of Forensic Disability</dc:creator>
  <cp:keywords>operational; procedure; forensic; disability; client; transfer; responsibility; exit; service</cp:keywords>
  <cp:lastModifiedBy>Elizabeth M Lane</cp:lastModifiedBy>
  <cp:revision>5</cp:revision>
  <cp:lastPrinted>2020-03-24T05:03:00Z</cp:lastPrinted>
  <dcterms:created xsi:type="dcterms:W3CDTF">2022-12-22T01:33:00Z</dcterms:created>
  <dcterms:modified xsi:type="dcterms:W3CDTF">2022-12-23T03:55:00Z</dcterms:modified>
  <cp:category>Transfer of Responsibility and Exit from the Forensic Disability Service Procedure</cp:category>
</cp:coreProperties>
</file>