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76A5" w14:textId="77777777" w:rsidR="00ED7906" w:rsidRPr="00CB64C2" w:rsidRDefault="00ED7906" w:rsidP="00ED7906">
      <w:pPr>
        <w:pStyle w:val="Heading1"/>
        <w:jc w:val="center"/>
        <w:rPr>
          <w:szCs w:val="48"/>
        </w:rPr>
      </w:pPr>
      <w:r w:rsidRPr="00CB64C2">
        <w:rPr>
          <w:szCs w:val="48"/>
        </w:rPr>
        <w:t>Director of Forensic Disability</w:t>
      </w:r>
    </w:p>
    <w:p w14:paraId="4AA290A7" w14:textId="77777777" w:rsidR="00ED7906" w:rsidRPr="00CB64C2" w:rsidRDefault="00ED7906" w:rsidP="00ED7906">
      <w:pPr>
        <w:pStyle w:val="Heading1"/>
        <w:jc w:val="center"/>
        <w:rPr>
          <w:szCs w:val="48"/>
        </w:rPr>
      </w:pPr>
      <w:r w:rsidRPr="00CB64C2">
        <w:rPr>
          <w:szCs w:val="48"/>
        </w:rPr>
        <w:t>POLICY</w:t>
      </w:r>
    </w:p>
    <w:p w14:paraId="5994220B" w14:textId="77777777" w:rsidR="00ED7906" w:rsidRPr="00CB64C2" w:rsidRDefault="00ED7906" w:rsidP="00ED7906">
      <w:pPr>
        <w:pStyle w:val="Heading1"/>
        <w:pBdr>
          <w:bottom w:val="single" w:sz="6" w:space="1" w:color="auto"/>
        </w:pBdr>
        <w:spacing w:before="360" w:after="360"/>
        <w:rPr>
          <w:b w:val="0"/>
          <w:sz w:val="36"/>
          <w:szCs w:val="36"/>
        </w:rPr>
      </w:pPr>
      <w:r w:rsidRPr="00CB64C2">
        <w:rPr>
          <w:sz w:val="36"/>
          <w:szCs w:val="36"/>
        </w:rPr>
        <w:t>Title:</w:t>
      </w:r>
      <w:r w:rsidRPr="00CB64C2">
        <w:rPr>
          <w:sz w:val="36"/>
          <w:szCs w:val="36"/>
        </w:rPr>
        <w:tab/>
      </w:r>
      <w:r w:rsidRPr="00CB64C2">
        <w:rPr>
          <w:b w:val="0"/>
          <w:sz w:val="32"/>
        </w:rPr>
        <w:t>Referral and Admission to the Forensic Disability Service</w:t>
      </w:r>
    </w:p>
    <w:p w14:paraId="22EAF5DC" w14:textId="77777777" w:rsidR="00ED7906" w:rsidRPr="00CB64C2" w:rsidRDefault="00ED7906" w:rsidP="00ED7906">
      <w:pPr>
        <w:pStyle w:val="Heading2"/>
        <w:numPr>
          <w:ilvl w:val="0"/>
          <w:numId w:val="4"/>
        </w:numPr>
        <w:tabs>
          <w:tab w:val="num" w:pos="360"/>
        </w:tabs>
        <w:rPr>
          <w:sz w:val="24"/>
          <w:szCs w:val="24"/>
        </w:rPr>
      </w:pPr>
      <w:r w:rsidRPr="00CB64C2">
        <w:rPr>
          <w:sz w:val="24"/>
          <w:szCs w:val="24"/>
        </w:rPr>
        <w:t>Policy Statement</w:t>
      </w:r>
    </w:p>
    <w:p w14:paraId="2AE6C80C" w14:textId="77777777" w:rsidR="00ED7906" w:rsidRPr="00CB64C2" w:rsidRDefault="00ED7906" w:rsidP="00ED7906">
      <w:pPr>
        <w:suppressAutoHyphens/>
      </w:pPr>
      <w:r w:rsidRPr="00CB64C2">
        <w:t xml:space="preserve">Forensic disability clients can only be admitted to the Forensic Disability Service (FDS) by the Mental Health Court (MHC), Mental Health Review Tribunal (MHRT) or an agreed transfer negotiated between the Director of Forensic Disability and the Chief Psychiatrist. </w:t>
      </w:r>
    </w:p>
    <w:p w14:paraId="72954701" w14:textId="77777777" w:rsidR="00ED7906" w:rsidRPr="00CB64C2" w:rsidRDefault="00ED7906" w:rsidP="00ED7906">
      <w:pPr>
        <w:suppressAutoHyphens/>
      </w:pPr>
      <w:r w:rsidRPr="00CB64C2">
        <w:t xml:space="preserve">Clearly established processes for the referral and admission of a person to the FDS are fundamental to ensuring clients are screened and assessed for suitability, and only clients deemed likely to benefit from the care and support provided by the FDS will be admitted. </w:t>
      </w:r>
    </w:p>
    <w:p w14:paraId="63D1D89D" w14:textId="77777777" w:rsidR="00ED7906" w:rsidRPr="00CB64C2" w:rsidRDefault="00ED7906" w:rsidP="00ED7906">
      <w:pPr>
        <w:pStyle w:val="Heading2"/>
        <w:numPr>
          <w:ilvl w:val="0"/>
          <w:numId w:val="4"/>
        </w:numPr>
        <w:tabs>
          <w:tab w:val="num" w:pos="360"/>
        </w:tabs>
        <w:rPr>
          <w:sz w:val="24"/>
          <w:szCs w:val="24"/>
        </w:rPr>
      </w:pPr>
      <w:r w:rsidRPr="00CB64C2">
        <w:rPr>
          <w:sz w:val="24"/>
          <w:szCs w:val="24"/>
        </w:rPr>
        <w:t>Purpose</w:t>
      </w:r>
    </w:p>
    <w:p w14:paraId="046FE491" w14:textId="258B77C0" w:rsidR="00ED7906" w:rsidRPr="00CB64C2" w:rsidRDefault="00ED7906" w:rsidP="00ED7906">
      <w:pPr>
        <w:suppressAutoHyphens/>
      </w:pPr>
      <w:r w:rsidRPr="00CB64C2">
        <w:t xml:space="preserve">This policy sets out the relevant provisions of the </w:t>
      </w:r>
      <w:r w:rsidRPr="00CB64C2">
        <w:rPr>
          <w:i/>
        </w:rPr>
        <w:t>Forensic Disability Act 2011</w:t>
      </w:r>
      <w:r w:rsidRPr="00CB64C2">
        <w:t xml:space="preserve"> (</w:t>
      </w:r>
      <w:r w:rsidR="00CC5D0C">
        <w:t xml:space="preserve">the </w:t>
      </w:r>
      <w:r w:rsidRPr="00CB64C2">
        <w:t xml:space="preserve">Act) and the </w:t>
      </w:r>
      <w:r w:rsidRPr="00CB64C2">
        <w:rPr>
          <w:i/>
        </w:rPr>
        <w:t xml:space="preserve">Mental Health Act 2016 </w:t>
      </w:r>
      <w:r w:rsidRPr="00CB64C2">
        <w:t>(MHA), and the Director of Forensic Disability Policy for:</w:t>
      </w:r>
    </w:p>
    <w:p w14:paraId="53A046DF" w14:textId="77777777" w:rsidR="00ED7906" w:rsidRPr="00CB64C2" w:rsidRDefault="00ED7906" w:rsidP="00ED7906">
      <w:pPr>
        <w:pStyle w:val="ListParagraph"/>
      </w:pPr>
      <w:r w:rsidRPr="00CB64C2">
        <w:t>the referral of a person who may be considered a potential client of the FDS;</w:t>
      </w:r>
    </w:p>
    <w:p w14:paraId="46CBBBB1" w14:textId="77777777" w:rsidR="00ED7906" w:rsidRPr="00CB64C2" w:rsidRDefault="00ED7906" w:rsidP="00ED7906">
      <w:pPr>
        <w:pStyle w:val="ListParagraph"/>
      </w:pPr>
      <w:r w:rsidRPr="00CB64C2">
        <w:t>considering the likely benefit from the care and support the FDS may provide for a potential client; and</w:t>
      </w:r>
    </w:p>
    <w:p w14:paraId="10EC579C" w14:textId="77777777" w:rsidR="00ED7906" w:rsidRPr="00CB64C2" w:rsidRDefault="00ED7906" w:rsidP="00ED7906">
      <w:pPr>
        <w:pStyle w:val="ListParagraph"/>
      </w:pPr>
      <w:r w:rsidRPr="00CB64C2">
        <w:t xml:space="preserve">the admission of a person to the FDS. </w:t>
      </w:r>
    </w:p>
    <w:p w14:paraId="02BD01CA" w14:textId="62F585A5" w:rsidR="00ED7906" w:rsidRPr="000D4118" w:rsidRDefault="00ED7906" w:rsidP="00015725">
      <w:pPr>
        <w:pStyle w:val="Heading2"/>
        <w:numPr>
          <w:ilvl w:val="0"/>
          <w:numId w:val="4"/>
        </w:numPr>
        <w:tabs>
          <w:tab w:val="num" w:pos="360"/>
        </w:tabs>
        <w:rPr>
          <w:sz w:val="24"/>
          <w:szCs w:val="24"/>
        </w:rPr>
      </w:pPr>
      <w:r w:rsidRPr="000D4118">
        <w:rPr>
          <w:sz w:val="24"/>
          <w:szCs w:val="24"/>
        </w:rPr>
        <w:t>Scope</w:t>
      </w:r>
    </w:p>
    <w:p w14:paraId="27FA4E38" w14:textId="22329FDD" w:rsidR="00ED7906" w:rsidRPr="00CB64C2" w:rsidRDefault="00ED7906" w:rsidP="00ED7906">
      <w:pPr>
        <w:suppressAutoHyphens/>
      </w:pPr>
      <w:r w:rsidRPr="00CB64C2">
        <w:t>This policy applies to the FDS. The Administrator, Senior Practitioner</w:t>
      </w:r>
      <w:r w:rsidR="00015725">
        <w:t>s</w:t>
      </w:r>
      <w:r w:rsidRPr="00CB64C2">
        <w:t>, Authorised Practitioner</w:t>
      </w:r>
      <w:r w:rsidR="00015725">
        <w:t>s</w:t>
      </w:r>
      <w:r w:rsidRPr="00CB64C2">
        <w:t xml:space="preserve"> and other persons performing a function or exercising a power under the Act must comply with this policy.</w:t>
      </w:r>
    </w:p>
    <w:p w14:paraId="489777C9" w14:textId="77777777" w:rsidR="00ED7906" w:rsidRPr="00CB64C2" w:rsidRDefault="00ED7906" w:rsidP="00ED7906">
      <w:pPr>
        <w:suppressAutoHyphens/>
      </w:pPr>
      <w:r w:rsidRPr="00CB64C2">
        <w:t>This policy must be implemented in a way that is consistent with the purpose and principles of the Act.</w:t>
      </w:r>
    </w:p>
    <w:p w14:paraId="75DB48C3" w14:textId="77777777" w:rsidR="00ED7906" w:rsidRPr="00CB64C2" w:rsidRDefault="00ED7906" w:rsidP="00ED7906">
      <w:pPr>
        <w:pStyle w:val="Heading2"/>
        <w:numPr>
          <w:ilvl w:val="0"/>
          <w:numId w:val="4"/>
        </w:numPr>
        <w:tabs>
          <w:tab w:val="num" w:pos="360"/>
        </w:tabs>
        <w:rPr>
          <w:sz w:val="24"/>
          <w:szCs w:val="24"/>
        </w:rPr>
      </w:pPr>
      <w:r w:rsidRPr="00CB64C2">
        <w:rPr>
          <w:sz w:val="24"/>
          <w:szCs w:val="24"/>
        </w:rPr>
        <w:t>Authorising Legislation</w:t>
      </w:r>
    </w:p>
    <w:p w14:paraId="78834C82" w14:textId="34CE4653" w:rsidR="00ED7906" w:rsidRPr="00CB64C2" w:rsidRDefault="00ED7906" w:rsidP="00ED7906">
      <w:pPr>
        <w:rPr>
          <w:position w:val="3"/>
          <w:lang w:eastAsia="x-none"/>
        </w:rPr>
      </w:pPr>
      <w:r w:rsidRPr="00CB64C2">
        <w:rPr>
          <w:position w:val="3"/>
          <w:lang w:eastAsia="x-none"/>
        </w:rPr>
        <w:t xml:space="preserve">Section 91 of the </w:t>
      </w:r>
      <w:r w:rsidR="00CC5D0C" w:rsidRPr="00DB75DD">
        <w:rPr>
          <w:iCs/>
          <w:position w:val="3"/>
          <w:lang w:eastAsia="x-none"/>
        </w:rPr>
        <w:t>Act</w:t>
      </w:r>
      <w:r w:rsidRPr="00DB75DD">
        <w:rPr>
          <w:iCs/>
          <w:position w:val="3"/>
          <w:lang w:eastAsia="x-none"/>
        </w:rPr>
        <w:t>.</w:t>
      </w:r>
    </w:p>
    <w:p w14:paraId="3B3B2B05" w14:textId="77777777" w:rsidR="00ED7906" w:rsidRPr="00CB64C2" w:rsidRDefault="00ED7906" w:rsidP="00ED7906">
      <w:pPr>
        <w:pStyle w:val="Heading2"/>
        <w:numPr>
          <w:ilvl w:val="0"/>
          <w:numId w:val="4"/>
        </w:numPr>
        <w:tabs>
          <w:tab w:val="num" w:pos="360"/>
        </w:tabs>
        <w:rPr>
          <w:sz w:val="24"/>
          <w:szCs w:val="24"/>
        </w:rPr>
      </w:pPr>
      <w:r w:rsidRPr="00CB64C2">
        <w:rPr>
          <w:sz w:val="24"/>
          <w:szCs w:val="24"/>
        </w:rPr>
        <w:t>Background</w:t>
      </w:r>
    </w:p>
    <w:p w14:paraId="67EE2CAA" w14:textId="2CFE06E8" w:rsidR="00ED7906" w:rsidRPr="00CB64C2" w:rsidRDefault="00ED7906" w:rsidP="00ED7906">
      <w:pPr>
        <w:suppressAutoHyphens/>
      </w:pPr>
      <w:r w:rsidRPr="00CB64C2">
        <w:t xml:space="preserve">A person can be detained </w:t>
      </w:r>
      <w:r w:rsidR="005561D4">
        <w:t>to</w:t>
      </w:r>
      <w:r w:rsidRPr="00CB64C2">
        <w:t>, or admitted to, the FDS by:</w:t>
      </w:r>
    </w:p>
    <w:p w14:paraId="4081CCDD" w14:textId="77777777" w:rsidR="00CB64C2" w:rsidRPr="00CB64C2" w:rsidRDefault="00ED7906" w:rsidP="00ED7906">
      <w:pPr>
        <w:pStyle w:val="ListParagraph"/>
      </w:pPr>
      <w:r w:rsidRPr="00CB64C2">
        <w:t>an order of the MHC - Forensic Order (Disability)</w:t>
      </w:r>
      <w:r w:rsidRPr="00CB64C2" w:rsidDel="003C7FDC">
        <w:t xml:space="preserve"> </w:t>
      </w:r>
      <w:r w:rsidRPr="00CB64C2">
        <w:t xml:space="preserve">or </w:t>
      </w:r>
    </w:p>
    <w:p w14:paraId="37346B65" w14:textId="78DB1C6A" w:rsidR="00ED7906" w:rsidRPr="00CB64C2" w:rsidRDefault="00ED7906" w:rsidP="00ED7906">
      <w:pPr>
        <w:pStyle w:val="ListParagraph"/>
      </w:pPr>
      <w:r w:rsidRPr="00CB64C2">
        <w:lastRenderedPageBreak/>
        <w:t>a</w:t>
      </w:r>
      <w:r w:rsidR="008647B0">
        <w:t xml:space="preserve"> decision</w:t>
      </w:r>
      <w:r w:rsidRPr="00CB64C2">
        <w:t xml:space="preserve"> of the MHRT upon a review of a person subject to a Forensic Order (Disability); or</w:t>
      </w:r>
    </w:p>
    <w:p w14:paraId="7108E245" w14:textId="2DA7943C" w:rsidR="00ED7906" w:rsidRPr="00CB64C2" w:rsidRDefault="00ED7906" w:rsidP="00ED7906">
      <w:pPr>
        <w:pStyle w:val="ListParagraph"/>
      </w:pPr>
      <w:r w:rsidRPr="00CB64C2">
        <w:t>agreement between the Director of Forensic Disability and the Chief Psychiatrist to transfer</w:t>
      </w:r>
      <w:r w:rsidR="008A0F98">
        <w:t xml:space="preserve"> the responsibility for</w:t>
      </w:r>
      <w:r w:rsidRPr="00CB64C2">
        <w:t xml:space="preserve"> a </w:t>
      </w:r>
      <w:r w:rsidR="008A0F98">
        <w:t xml:space="preserve">Forensic Order (Disability) </w:t>
      </w:r>
      <w:r w:rsidRPr="00CB64C2">
        <w:t xml:space="preserve">patient </w:t>
      </w:r>
      <w:r w:rsidR="008A0F98">
        <w:t>from</w:t>
      </w:r>
      <w:r w:rsidRPr="00CB64C2">
        <w:t xml:space="preserve"> an </w:t>
      </w:r>
      <w:r w:rsidR="00DD6065">
        <w:t>a</w:t>
      </w:r>
      <w:r w:rsidRPr="00CB64C2">
        <w:t xml:space="preserve">uthorised </w:t>
      </w:r>
      <w:r w:rsidR="00DD6065">
        <w:t>m</w:t>
      </w:r>
      <w:r w:rsidRPr="00CB64C2">
        <w:t xml:space="preserve">ental </w:t>
      </w:r>
      <w:r w:rsidR="00DD6065">
        <w:t>h</w:t>
      </w:r>
      <w:r w:rsidRPr="00CB64C2">
        <w:t xml:space="preserve">ealth </w:t>
      </w:r>
      <w:r w:rsidR="00DD6065">
        <w:t>s</w:t>
      </w:r>
      <w:r w:rsidRPr="00CB64C2">
        <w:t xml:space="preserve">ervice (AMHS) to the FDS. </w:t>
      </w:r>
    </w:p>
    <w:p w14:paraId="7CDD766F" w14:textId="77777777" w:rsidR="00ED7906" w:rsidRPr="003F5BCD" w:rsidRDefault="00ED7906" w:rsidP="00ED7906">
      <w:pPr>
        <w:suppressAutoHyphens/>
      </w:pPr>
      <w:r w:rsidRPr="003F5BCD">
        <w:t xml:space="preserve">Before the MHC or MHRT can make an order to detain a person on a Forensic Order (Disability) to the FDS, the MHC or MHRT must have regard to: </w:t>
      </w:r>
    </w:p>
    <w:p w14:paraId="57158CD0" w14:textId="65F86C05" w:rsidR="00ED7906" w:rsidRPr="003F5BCD" w:rsidRDefault="00ED7906" w:rsidP="00ED7906">
      <w:pPr>
        <w:pStyle w:val="ListParagraph"/>
      </w:pPr>
      <w:r w:rsidRPr="003F5BCD">
        <w:t xml:space="preserve">whether the person has a diagnosed intellectual or cognitive disability but does not require treatment or care for a mental illness under the MHA; </w:t>
      </w:r>
    </w:p>
    <w:p w14:paraId="70C7F794" w14:textId="77777777" w:rsidR="00ED7906" w:rsidRPr="003F5BCD" w:rsidRDefault="00ED7906" w:rsidP="00ED7906">
      <w:pPr>
        <w:pStyle w:val="ListParagraph"/>
      </w:pPr>
      <w:r w:rsidRPr="003F5BCD">
        <w:t>whether the person would benefit from care and support offered by the FDS; and</w:t>
      </w:r>
    </w:p>
    <w:p w14:paraId="4271D7CF" w14:textId="70EE143E" w:rsidR="00ED7906" w:rsidRPr="003F5BCD" w:rsidRDefault="00677DE7" w:rsidP="00ED7906">
      <w:pPr>
        <w:pStyle w:val="ListParagraph"/>
      </w:pPr>
      <w:r>
        <w:t>availability</w:t>
      </w:r>
      <w:r w:rsidR="00ED7906" w:rsidRPr="003F5BCD">
        <w:t xml:space="preserve"> at the FDS evidenced by a certificate</w:t>
      </w:r>
      <w:r w:rsidR="006E07DC">
        <w:t xml:space="preserve"> of availability</w:t>
      </w:r>
      <w:r w:rsidR="00ED7906" w:rsidRPr="003F5BCD">
        <w:t xml:space="preserve"> issued by the Chief Executive</w:t>
      </w:r>
      <w:r w:rsidR="003F5BCD" w:rsidRPr="003F5BCD">
        <w:t xml:space="preserve"> of the </w:t>
      </w:r>
      <w:r w:rsidR="00ED7906" w:rsidRPr="003F5BCD">
        <w:t>Department</w:t>
      </w:r>
      <w:r w:rsidR="003F5BCD" w:rsidRPr="003F5BCD">
        <w:t xml:space="preserve"> in which the Act is administered </w:t>
      </w:r>
      <w:r w:rsidR="00ED7906" w:rsidRPr="003F5BCD">
        <w:t>that confirms the FDS has the capacity to detain and care for the person.</w:t>
      </w:r>
    </w:p>
    <w:p w14:paraId="24710188" w14:textId="1B9EF687" w:rsidR="00ED7906" w:rsidRPr="003F5BCD" w:rsidRDefault="00ED7906" w:rsidP="00ED7906">
      <w:pPr>
        <w:suppressAutoHyphens/>
      </w:pPr>
      <w:r w:rsidRPr="003F5BCD">
        <w:t xml:space="preserve">Only a person subject to a Forensic Order (Disability) may be detained </w:t>
      </w:r>
      <w:r w:rsidR="005561D4">
        <w:t>to</w:t>
      </w:r>
      <w:r w:rsidR="005561D4" w:rsidRPr="003F5BCD">
        <w:t xml:space="preserve"> </w:t>
      </w:r>
      <w:r w:rsidRPr="003F5BCD">
        <w:t xml:space="preserve">the FDS. </w:t>
      </w:r>
    </w:p>
    <w:p w14:paraId="1E549660" w14:textId="77777777" w:rsidR="00ED7906" w:rsidRPr="008E2EDB" w:rsidRDefault="00ED7906" w:rsidP="00ED7906">
      <w:pPr>
        <w:pStyle w:val="Heading2"/>
        <w:numPr>
          <w:ilvl w:val="0"/>
          <w:numId w:val="4"/>
        </w:numPr>
        <w:tabs>
          <w:tab w:val="num" w:pos="360"/>
        </w:tabs>
        <w:rPr>
          <w:sz w:val="24"/>
          <w:szCs w:val="24"/>
        </w:rPr>
      </w:pPr>
      <w:r w:rsidRPr="008E2EDB">
        <w:rPr>
          <w:sz w:val="24"/>
          <w:szCs w:val="24"/>
        </w:rPr>
        <w:t xml:space="preserve">Policy </w:t>
      </w:r>
    </w:p>
    <w:p w14:paraId="2E199DCB" w14:textId="77777777" w:rsidR="00ED7906" w:rsidRPr="008E2EDB" w:rsidRDefault="00ED7906" w:rsidP="00ED7906">
      <w:pPr>
        <w:pStyle w:val="Heading3"/>
        <w:numPr>
          <w:ilvl w:val="1"/>
          <w:numId w:val="5"/>
        </w:numPr>
        <w:tabs>
          <w:tab w:val="num" w:pos="360"/>
        </w:tabs>
        <w:ind w:left="720" w:hanging="720"/>
      </w:pPr>
      <w:r w:rsidRPr="008E2EDB">
        <w:t>Referral to the Forensic Disability Service</w:t>
      </w:r>
    </w:p>
    <w:p w14:paraId="27C74213" w14:textId="77777777" w:rsidR="00ED7906" w:rsidRPr="008E2EDB" w:rsidRDefault="00ED7906" w:rsidP="00ED7906">
      <w:pPr>
        <w:pStyle w:val="ListParagraph"/>
        <w:numPr>
          <w:ilvl w:val="2"/>
          <w:numId w:val="5"/>
        </w:numPr>
        <w:spacing w:after="120"/>
        <w:rPr>
          <w:b/>
        </w:rPr>
      </w:pPr>
      <w:r w:rsidRPr="008E2EDB">
        <w:rPr>
          <w:rStyle w:val="Heading4Char"/>
          <w:rFonts w:eastAsia="MS Mincho"/>
        </w:rPr>
        <w:t xml:space="preserve">Referral </w:t>
      </w:r>
    </w:p>
    <w:p w14:paraId="1A9C88CC" w14:textId="5B4241FD" w:rsidR="002776E4" w:rsidRDefault="004B0F13" w:rsidP="00ED7906">
      <w:r>
        <w:t>R</w:t>
      </w:r>
      <w:r w:rsidR="005225D8">
        <w:t xml:space="preserve">eferrals to the </w:t>
      </w:r>
      <w:r w:rsidR="00015725">
        <w:t>FDS</w:t>
      </w:r>
      <w:r>
        <w:t xml:space="preserve"> may be received</w:t>
      </w:r>
      <w:r w:rsidR="005225D8">
        <w:t xml:space="preserve"> in one of the following ways:</w:t>
      </w:r>
    </w:p>
    <w:p w14:paraId="7D8F67CE" w14:textId="24DE813E" w:rsidR="005225D8" w:rsidRDefault="005225D8" w:rsidP="005225D8">
      <w:pPr>
        <w:pStyle w:val="ListParagraph"/>
        <w:numPr>
          <w:ilvl w:val="0"/>
          <w:numId w:val="7"/>
        </w:numPr>
      </w:pPr>
      <w:r>
        <w:t>a reference from the MHC;</w:t>
      </w:r>
      <w:r w:rsidR="00015725">
        <w:t xml:space="preserve"> or</w:t>
      </w:r>
    </w:p>
    <w:p w14:paraId="5F340C52" w14:textId="6B25DD70" w:rsidR="005225D8" w:rsidRDefault="005225D8" w:rsidP="005225D8">
      <w:pPr>
        <w:pStyle w:val="ListParagraph"/>
        <w:numPr>
          <w:ilvl w:val="0"/>
          <w:numId w:val="7"/>
        </w:numPr>
      </w:pPr>
      <w:r>
        <w:t>a referral from a government service (e</w:t>
      </w:r>
      <w:r w:rsidR="008647B0">
        <w:t>.</w:t>
      </w:r>
      <w:r>
        <w:t>g</w:t>
      </w:r>
      <w:r w:rsidR="008647B0">
        <w:t>.</w:t>
      </w:r>
      <w:r>
        <w:t xml:space="preserve"> an AMHS or correctional service)</w:t>
      </w:r>
      <w:r w:rsidR="00015725">
        <w:t xml:space="preserve">. </w:t>
      </w:r>
    </w:p>
    <w:p w14:paraId="22E20609" w14:textId="036CB561" w:rsidR="0011226E" w:rsidRPr="008D13FA" w:rsidRDefault="0011226E" w:rsidP="0011226E">
      <w:pPr>
        <w:spacing w:line="240" w:lineRule="atLeast"/>
      </w:pPr>
      <w:r>
        <w:t xml:space="preserve">Any referral received will be subject to initial screening to establish the minimum </w:t>
      </w:r>
      <w:r w:rsidRPr="008D13FA">
        <w:t xml:space="preserve">requirements for admission to the FDS. To meet the minimum requirements for admission to the FDS the person must: </w:t>
      </w:r>
    </w:p>
    <w:p w14:paraId="540E5C9D" w14:textId="77777777" w:rsidR="0011226E" w:rsidRPr="008D13FA" w:rsidRDefault="0011226E" w:rsidP="0011226E">
      <w:pPr>
        <w:pStyle w:val="ListParagraph"/>
      </w:pPr>
      <w:r w:rsidRPr="008D13FA">
        <w:t xml:space="preserve">be between 18 and 65 years of age; </w:t>
      </w:r>
    </w:p>
    <w:p w14:paraId="4603C89A" w14:textId="77777777" w:rsidR="0011226E" w:rsidRPr="008D13FA" w:rsidRDefault="0011226E" w:rsidP="0011226E">
      <w:pPr>
        <w:pStyle w:val="ListParagraph"/>
      </w:pPr>
      <w:r w:rsidRPr="008D13FA">
        <w:t>have an intellectual disability or cognitive impairment;</w:t>
      </w:r>
    </w:p>
    <w:p w14:paraId="1A33A66C" w14:textId="77777777" w:rsidR="0011226E" w:rsidRPr="008D13FA" w:rsidRDefault="0011226E" w:rsidP="0011226E">
      <w:pPr>
        <w:pStyle w:val="ListParagraph"/>
      </w:pPr>
      <w:r w:rsidRPr="008D13FA">
        <w:t>not require involuntary treatment and care for a mental illness under the MHA; and</w:t>
      </w:r>
    </w:p>
    <w:p w14:paraId="4A8434FB" w14:textId="3C644986" w:rsidR="0011226E" w:rsidRDefault="0011226E" w:rsidP="0011226E">
      <w:pPr>
        <w:pStyle w:val="ListParagraph"/>
      </w:pPr>
      <w:r w:rsidRPr="008D13FA">
        <w:t xml:space="preserve">be </w:t>
      </w:r>
      <w:r w:rsidR="006E07DC">
        <w:t>subject to</w:t>
      </w:r>
      <w:r w:rsidRPr="008D13FA">
        <w:t xml:space="preserve"> a Forensic Order (Disability).</w:t>
      </w:r>
    </w:p>
    <w:p w14:paraId="3A8DC613" w14:textId="393CAA86" w:rsidR="000E24E3" w:rsidRPr="00872E9D" w:rsidRDefault="000E24E3" w:rsidP="00DB75DD">
      <w:pPr>
        <w:tabs>
          <w:tab w:val="left" w:pos="709"/>
        </w:tabs>
        <w:spacing w:after="120"/>
      </w:pPr>
      <w:r>
        <w:t xml:space="preserve">Any referral should be accompanied by relevant supporting documentation to assist in determining eligibility and suitability for admission to the FDS. </w:t>
      </w:r>
    </w:p>
    <w:p w14:paraId="6BF4AAA1" w14:textId="6766A61A" w:rsidR="000D4118" w:rsidRDefault="000E24E3" w:rsidP="00ED7906">
      <w:r w:rsidRPr="008651AC">
        <w:t>For details about the types of</w:t>
      </w:r>
      <w:r>
        <w:t xml:space="preserve"> supporting documentation to be provided to the FDS and/or the Director of Forensic Disability </w:t>
      </w:r>
      <w:r w:rsidRPr="008651AC">
        <w:t xml:space="preserve">please refer to the </w:t>
      </w:r>
      <w:r w:rsidRPr="008651AC">
        <w:rPr>
          <w:i/>
          <w:iCs/>
        </w:rPr>
        <w:t>Director of Forensic Disability Procedure – Referral and Admission to the Forensic Disability Service</w:t>
      </w:r>
      <w:r>
        <w:t>.</w:t>
      </w:r>
    </w:p>
    <w:p w14:paraId="5C8082BF" w14:textId="77777777" w:rsidR="000D4118" w:rsidRDefault="000D4118">
      <w:pPr>
        <w:spacing w:before="0" w:after="160" w:line="259" w:lineRule="auto"/>
        <w:jc w:val="left"/>
      </w:pPr>
      <w:r>
        <w:br w:type="page"/>
      </w:r>
    </w:p>
    <w:p w14:paraId="24343606" w14:textId="54642634" w:rsidR="0011226E" w:rsidRPr="00DB75DD" w:rsidRDefault="000E24E3" w:rsidP="00DB75DD">
      <w:pPr>
        <w:pStyle w:val="ListParagraph"/>
        <w:numPr>
          <w:ilvl w:val="2"/>
          <w:numId w:val="5"/>
        </w:numPr>
        <w:tabs>
          <w:tab w:val="left" w:pos="709"/>
        </w:tabs>
        <w:spacing w:after="120"/>
        <w:rPr>
          <w:rStyle w:val="Heading4Char"/>
          <w:rFonts w:eastAsia="MS Mincho"/>
        </w:rPr>
      </w:pPr>
      <w:r>
        <w:rPr>
          <w:rStyle w:val="Heading4Char"/>
          <w:rFonts w:eastAsia="MS Mincho"/>
        </w:rPr>
        <w:lastRenderedPageBreak/>
        <w:t xml:space="preserve">FDS </w:t>
      </w:r>
      <w:r w:rsidR="0011226E" w:rsidRPr="008E2EDB">
        <w:rPr>
          <w:rStyle w:val="Heading4Char"/>
          <w:rFonts w:eastAsia="MS Mincho"/>
        </w:rPr>
        <w:t>Referral</w:t>
      </w:r>
      <w:r>
        <w:rPr>
          <w:rStyle w:val="Heading4Char"/>
          <w:rFonts w:eastAsia="MS Mincho"/>
        </w:rPr>
        <w:t xml:space="preserve"> and Admissions Meeting</w:t>
      </w:r>
    </w:p>
    <w:p w14:paraId="1F29DD8D" w14:textId="261B7C0A" w:rsidR="0011226E" w:rsidRDefault="0011226E" w:rsidP="0011226E">
      <w:r>
        <w:t xml:space="preserve">Any referral received will be listed for discussion at the FDS Referral and Admissions meeting convened by the FDS every two months, or more regularly </w:t>
      </w:r>
      <w:r w:rsidR="006E07DC">
        <w:t>if</w:t>
      </w:r>
      <w:r>
        <w:t xml:space="preserve"> required. The purpose o</w:t>
      </w:r>
      <w:r w:rsidR="006A6991">
        <w:t>f</w:t>
      </w:r>
      <w:r>
        <w:t xml:space="preserve"> the FDS Referral </w:t>
      </w:r>
      <w:r w:rsidR="00DA219D">
        <w:t xml:space="preserve">and Admissions </w:t>
      </w:r>
      <w:r>
        <w:t>meeting is to</w:t>
      </w:r>
      <w:r w:rsidR="00647CFE">
        <w:t xml:space="preserve"> evaluate and</w:t>
      </w:r>
      <w:r>
        <w:t xml:space="preserve"> prioritise potential clients for </w:t>
      </w:r>
      <w:r w:rsidR="000E24E3">
        <w:t xml:space="preserve">assessment and/or admission, </w:t>
      </w:r>
      <w:r w:rsidR="00BB6640">
        <w:t>identify further steps in relation to assessment</w:t>
      </w:r>
      <w:r w:rsidR="00647CFE">
        <w:t>, organise engag</w:t>
      </w:r>
      <w:r w:rsidR="00DA219D">
        <w:t>ement</w:t>
      </w:r>
      <w:r w:rsidR="00647CFE">
        <w:t xml:space="preserve"> </w:t>
      </w:r>
      <w:r w:rsidR="00622CFF">
        <w:t>with the client</w:t>
      </w:r>
      <w:r w:rsidR="00BB6640">
        <w:t xml:space="preserve">, </w:t>
      </w:r>
      <w:r w:rsidR="000E24E3">
        <w:t>and ensure communication with relevant stakeholders is</w:t>
      </w:r>
      <w:r w:rsidR="00647CFE">
        <w:t xml:space="preserve"> planned and</w:t>
      </w:r>
      <w:r w:rsidR="000E24E3">
        <w:t xml:space="preserve"> undertaken. </w:t>
      </w:r>
    </w:p>
    <w:p w14:paraId="2F883D7E" w14:textId="3BB8E667" w:rsidR="000E24E3" w:rsidRDefault="000E24E3" w:rsidP="0011226E">
      <w:r>
        <w:t xml:space="preserve">The FDS Referral and Admissions meeting is attended by the Administrator, </w:t>
      </w:r>
      <w:r w:rsidR="001D011B">
        <w:t xml:space="preserve">Senior Practitioner, Principal Clinician </w:t>
      </w:r>
      <w:r>
        <w:t xml:space="preserve">and the Director of Forensic Disability. </w:t>
      </w:r>
    </w:p>
    <w:p w14:paraId="4D7980D0" w14:textId="1D529F45" w:rsidR="00E90E50" w:rsidRDefault="00DD3EC0" w:rsidP="001B1FBA">
      <w:pPr>
        <w:rPr>
          <w:color w:val="FF0000"/>
        </w:rPr>
      </w:pPr>
      <w:r>
        <w:t>M</w:t>
      </w:r>
      <w:r w:rsidR="000E24E3">
        <w:t>inutes</w:t>
      </w:r>
      <w:r w:rsidR="00DA219D">
        <w:t xml:space="preserve"> of the FDS Referral and Admissions meeting</w:t>
      </w:r>
      <w:r w:rsidR="000E24E3">
        <w:t xml:space="preserve"> </w:t>
      </w:r>
      <w:r>
        <w:t xml:space="preserve">must be </w:t>
      </w:r>
      <w:r w:rsidR="000E24E3">
        <w:t>recorded</w:t>
      </w:r>
      <w:r w:rsidR="00DA219D">
        <w:t>.</w:t>
      </w:r>
      <w:r w:rsidR="000E24E3">
        <w:t xml:space="preserve"> </w:t>
      </w:r>
    </w:p>
    <w:p w14:paraId="27D6BA44" w14:textId="02CA6A27" w:rsidR="008651AC" w:rsidRPr="000D4118" w:rsidRDefault="00922E72" w:rsidP="008A4B6D">
      <w:pPr>
        <w:pStyle w:val="Heading4"/>
        <w:numPr>
          <w:ilvl w:val="2"/>
          <w:numId w:val="5"/>
        </w:numPr>
      </w:pPr>
      <w:r w:rsidRPr="000D4118">
        <w:t>Assessment</w:t>
      </w:r>
      <w:r w:rsidR="003C6A2C" w:rsidRPr="000D4118">
        <w:t xml:space="preserve"> criteria</w:t>
      </w:r>
      <w:r w:rsidRPr="000D4118">
        <w:t xml:space="preserve">, suitability and likelihood </w:t>
      </w:r>
      <w:r w:rsidR="003C6A2C" w:rsidRPr="000D4118">
        <w:t>the</w:t>
      </w:r>
      <w:r w:rsidRPr="000D4118">
        <w:t xml:space="preserve"> person will benefit</w:t>
      </w:r>
    </w:p>
    <w:p w14:paraId="3C6ADD7C" w14:textId="279C0F20" w:rsidR="00DA219D" w:rsidRPr="007F6020" w:rsidRDefault="000E24E3" w:rsidP="006D32A1">
      <w:r>
        <w:t>In de</w:t>
      </w:r>
      <w:r w:rsidR="00DA219D">
        <w:t>t</w:t>
      </w:r>
      <w:r>
        <w:t xml:space="preserve">ermining suitability for admission to the FDS, a range of factors including, but not limited to, the following will be </w:t>
      </w:r>
      <w:r w:rsidR="006D32A1">
        <w:t xml:space="preserve">considered: </w:t>
      </w:r>
    </w:p>
    <w:p w14:paraId="1D2A1492" w14:textId="3C7D3DD0" w:rsidR="005E61D1" w:rsidRDefault="00BA0318" w:rsidP="00ED7906">
      <w:pPr>
        <w:pStyle w:val="ListParagraph"/>
      </w:pPr>
      <w:r>
        <w:t xml:space="preserve">the </w:t>
      </w:r>
      <w:r w:rsidR="005E61D1">
        <w:t>physical capacity to accommodate the referred person;</w:t>
      </w:r>
    </w:p>
    <w:p w14:paraId="6330EEBF" w14:textId="26ACFF02" w:rsidR="00ED7906" w:rsidRPr="007F6020" w:rsidRDefault="00ED7906" w:rsidP="00ED7906">
      <w:pPr>
        <w:pStyle w:val="ListParagraph"/>
      </w:pPr>
      <w:r w:rsidRPr="007F6020">
        <w:t xml:space="preserve">the person’s requirement for a medium secure environment; </w:t>
      </w:r>
    </w:p>
    <w:p w14:paraId="67440182" w14:textId="77777777" w:rsidR="00ED7906" w:rsidRPr="007F6020" w:rsidRDefault="00ED7906" w:rsidP="00ED7906">
      <w:pPr>
        <w:pStyle w:val="ListParagraph"/>
      </w:pPr>
      <w:r w:rsidRPr="007F6020">
        <w:t>the person has significant criminogenic needs that can be addressed through rehabilitative programs delivered at the FDS;</w:t>
      </w:r>
    </w:p>
    <w:p w14:paraId="36FAB630" w14:textId="77777777" w:rsidR="00ED7906" w:rsidRPr="007F6020" w:rsidRDefault="00ED7906" w:rsidP="00ED7906">
      <w:pPr>
        <w:pStyle w:val="ListParagraph"/>
      </w:pPr>
      <w:bookmarkStart w:id="0" w:name="_Hlk116464367"/>
      <w:r w:rsidRPr="007F6020">
        <w:t>the person’s intellectual functioning/cognitive capacity and adaptive functioning is at a level where they will (with reasonable adaptations) be able to successfully participate in, and benefit from, evidence-based rehabilitative programs;</w:t>
      </w:r>
    </w:p>
    <w:p w14:paraId="76F0A934" w14:textId="2B7B64D3" w:rsidR="00ED7906" w:rsidRPr="007F6020" w:rsidRDefault="00ED7906" w:rsidP="00ED7906">
      <w:pPr>
        <w:pStyle w:val="ListParagraph"/>
      </w:pPr>
      <w:bookmarkStart w:id="1" w:name="_Hlk116464125"/>
      <w:bookmarkEnd w:id="0"/>
      <w:r w:rsidRPr="007F6020">
        <w:t xml:space="preserve">the person does not have mental health needs that are likely to impact on their ability to participate effectively in </w:t>
      </w:r>
      <w:r w:rsidR="00015725">
        <w:t>the Model of Care provided</w:t>
      </w:r>
      <w:r w:rsidRPr="007F6020">
        <w:t xml:space="preserve"> at the FDS</w:t>
      </w:r>
      <w:bookmarkEnd w:id="1"/>
      <w:r w:rsidRPr="007F6020">
        <w:t xml:space="preserve">;  </w:t>
      </w:r>
    </w:p>
    <w:p w14:paraId="09983917" w14:textId="77777777" w:rsidR="00ED7906" w:rsidRPr="007F6020" w:rsidRDefault="00ED7906" w:rsidP="00ED7906">
      <w:pPr>
        <w:pStyle w:val="ListParagraph"/>
      </w:pPr>
      <w:r w:rsidRPr="007F6020">
        <w:t>the person’s cultural needs can be supported;</w:t>
      </w:r>
    </w:p>
    <w:p w14:paraId="2FD2CAF3" w14:textId="28FD044F" w:rsidR="00ED7906" w:rsidRPr="007F6020" w:rsidRDefault="00ED7906" w:rsidP="00ED7906">
      <w:pPr>
        <w:pStyle w:val="ListParagraph"/>
      </w:pPr>
      <w:bookmarkStart w:id="2" w:name="_Hlk116464294"/>
      <w:r w:rsidRPr="007F6020">
        <w:t>the person is likely to be able to co-tenant with other forensic disability clients and cohabit with the current cohort of clients at the FDS;</w:t>
      </w:r>
    </w:p>
    <w:p w14:paraId="60BA1CFF" w14:textId="37398ED2" w:rsidR="00BB6640" w:rsidRDefault="00ED7906" w:rsidP="00ED7906">
      <w:pPr>
        <w:pStyle w:val="ListParagraph"/>
      </w:pPr>
      <w:bookmarkStart w:id="3" w:name="_Hlk116464476"/>
      <w:bookmarkEnd w:id="2"/>
      <w:r w:rsidRPr="007F6020">
        <w:t xml:space="preserve">the person is likely to benefit from supports and programs such that </w:t>
      </w:r>
      <w:bookmarkEnd w:id="3"/>
      <w:r w:rsidR="00015725">
        <w:t>there will be a viable transition pathway from the FDS to the community</w:t>
      </w:r>
      <w:r w:rsidR="00DD3EC0">
        <w:t xml:space="preserve">; </w:t>
      </w:r>
      <w:r w:rsidR="00BB6640">
        <w:t xml:space="preserve">and </w:t>
      </w:r>
    </w:p>
    <w:p w14:paraId="44C08A78" w14:textId="313BE2F5" w:rsidR="00ED7906" w:rsidRPr="007F6020" w:rsidRDefault="00BB6640" w:rsidP="00ED7906">
      <w:pPr>
        <w:pStyle w:val="ListParagraph"/>
      </w:pPr>
      <w:r>
        <w:t>the views of the client and/or guardian, family members and advocate (where relevant)</w:t>
      </w:r>
      <w:r w:rsidR="00015725">
        <w:t>.</w:t>
      </w:r>
    </w:p>
    <w:p w14:paraId="22D3B708" w14:textId="29032A0D" w:rsidR="00BB6640" w:rsidRDefault="00015725" w:rsidP="00114968">
      <w:r>
        <w:t>W</w:t>
      </w:r>
      <w:r w:rsidR="00BB6640">
        <w:t xml:space="preserve">here a potential client presents as suitable for admission, client engagement </w:t>
      </w:r>
      <w:r w:rsidR="00647CFE">
        <w:t>should</w:t>
      </w:r>
      <w:r w:rsidR="00BB6640">
        <w:t xml:space="preserve"> be prioritised to seek the views of the client, further assess the client for suitability, and determine any responsivity issues or factors that will impact admission or planning for the client. Direct engagement may occur by either clinical team members from the FDS or representatives of the Director of Forensic Disability team where FDS involvement may present operational challenges (e.g. regional locations). </w:t>
      </w:r>
    </w:p>
    <w:p w14:paraId="3DF243AB" w14:textId="3B450F35" w:rsidR="00BB6640" w:rsidRDefault="00BB6640" w:rsidP="00114968">
      <w:r>
        <w:t xml:space="preserve">Further information regarding the client’s suitability for admission to the FDS </w:t>
      </w:r>
      <w:r w:rsidR="00647CFE">
        <w:t>should</w:t>
      </w:r>
      <w:r>
        <w:t xml:space="preserve"> be discussed at the FDS </w:t>
      </w:r>
      <w:r w:rsidR="00DA219D">
        <w:t xml:space="preserve">Referral and </w:t>
      </w:r>
      <w:r>
        <w:t>Admission</w:t>
      </w:r>
      <w:r w:rsidR="00DA219D">
        <w:t>s</w:t>
      </w:r>
      <w:r>
        <w:t xml:space="preserve"> </w:t>
      </w:r>
      <w:r w:rsidR="00DA219D">
        <w:t>meeting</w:t>
      </w:r>
      <w:r>
        <w:t xml:space="preserve">. </w:t>
      </w:r>
    </w:p>
    <w:p w14:paraId="3FF28442" w14:textId="77C34496" w:rsidR="00114968" w:rsidRPr="004F77AB" w:rsidRDefault="006E182D" w:rsidP="007000C4">
      <w:pPr>
        <w:pStyle w:val="Heading3"/>
        <w:numPr>
          <w:ilvl w:val="1"/>
          <w:numId w:val="5"/>
        </w:numPr>
      </w:pPr>
      <w:r w:rsidRPr="004F77AB">
        <w:lastRenderedPageBreak/>
        <w:t xml:space="preserve">Transfer </w:t>
      </w:r>
      <w:r w:rsidR="000619F7" w:rsidRPr="004F77AB">
        <w:t>t</w:t>
      </w:r>
      <w:r w:rsidRPr="004F77AB">
        <w:t xml:space="preserve">o </w:t>
      </w:r>
      <w:r w:rsidR="000619F7" w:rsidRPr="004F77AB">
        <w:t>t</w:t>
      </w:r>
      <w:r w:rsidRPr="004F77AB">
        <w:t xml:space="preserve">he Forensic Disability Service </w:t>
      </w:r>
    </w:p>
    <w:p w14:paraId="7BE351E4" w14:textId="742F94BA" w:rsidR="00ED7906" w:rsidRPr="00114968" w:rsidRDefault="00ED7906" w:rsidP="007000C4">
      <w:pPr>
        <w:pStyle w:val="Heading4"/>
        <w:numPr>
          <w:ilvl w:val="2"/>
          <w:numId w:val="5"/>
        </w:numPr>
      </w:pPr>
      <w:r w:rsidRPr="00114968">
        <w:rPr>
          <w:bCs/>
          <w:i/>
        </w:rPr>
        <w:t xml:space="preserve">MHC or MHRT </w:t>
      </w:r>
      <w:r w:rsidR="003C6A2C" w:rsidRPr="00114968">
        <w:rPr>
          <w:bCs/>
          <w:i/>
        </w:rPr>
        <w:t>hearings</w:t>
      </w:r>
    </w:p>
    <w:p w14:paraId="68513FFC" w14:textId="1FD5B99D" w:rsidR="0052781D" w:rsidRDefault="0052781D" w:rsidP="00ED7906">
      <w:r>
        <w:t>The Director of Forensic Disability may choose to elect-in to a matter before the MHC (or seek leave to appear at a MHRT hearing). However, the Director of Forensic Disability will only elect-in to a matter when satisfied at a preliminary level that:</w:t>
      </w:r>
    </w:p>
    <w:p w14:paraId="57DCD43A" w14:textId="5229924F" w:rsidR="0052781D" w:rsidRDefault="0052781D" w:rsidP="0052781D">
      <w:pPr>
        <w:pStyle w:val="ListParagraph"/>
        <w:numPr>
          <w:ilvl w:val="0"/>
          <w:numId w:val="12"/>
        </w:numPr>
      </w:pPr>
      <w:r>
        <w:t xml:space="preserve">the person meets the preliminary suitability requirements; </w:t>
      </w:r>
    </w:p>
    <w:p w14:paraId="0EF11604" w14:textId="5AFF478D" w:rsidR="0052781D" w:rsidRDefault="0052781D" w:rsidP="0052781D">
      <w:pPr>
        <w:pStyle w:val="ListParagraph"/>
        <w:numPr>
          <w:ilvl w:val="0"/>
          <w:numId w:val="12"/>
        </w:numPr>
      </w:pPr>
      <w:r>
        <w:t>the person is likely to benefit from the FDS</w:t>
      </w:r>
      <w:r w:rsidR="007000C4">
        <w:t xml:space="preserve"> model</w:t>
      </w:r>
      <w:r>
        <w:t xml:space="preserve">; </w:t>
      </w:r>
    </w:p>
    <w:p w14:paraId="6D8F2684" w14:textId="0E68DE57" w:rsidR="0052781D" w:rsidRDefault="0052781D" w:rsidP="0052781D">
      <w:pPr>
        <w:pStyle w:val="ListParagraph"/>
        <w:numPr>
          <w:ilvl w:val="0"/>
          <w:numId w:val="12"/>
        </w:numPr>
      </w:pPr>
      <w:r>
        <w:t xml:space="preserve">the Administrator has provided a preliminary recommendation about the person’s suitability for the FDS; and </w:t>
      </w:r>
    </w:p>
    <w:p w14:paraId="408AFFD8" w14:textId="44516569" w:rsidR="0052781D" w:rsidRDefault="0052781D" w:rsidP="00DB75DD">
      <w:pPr>
        <w:pStyle w:val="ListParagraph"/>
        <w:numPr>
          <w:ilvl w:val="0"/>
          <w:numId w:val="12"/>
        </w:numPr>
      </w:pPr>
      <w:r>
        <w:t xml:space="preserve">the FDS is likely to have availability and capacity to care for the person. </w:t>
      </w:r>
    </w:p>
    <w:p w14:paraId="42C1A270" w14:textId="4F1089A4" w:rsidR="0052781D" w:rsidRDefault="007000C4" w:rsidP="00ED7906">
      <w:r>
        <w:t>Any</w:t>
      </w:r>
      <w:r w:rsidR="0052781D">
        <w:t xml:space="preserve"> subsequent information regarding the person </w:t>
      </w:r>
      <w:r>
        <w:t>may further inform the suitability of the person for the FDS. T</w:t>
      </w:r>
      <w:r w:rsidR="0052781D">
        <w:t xml:space="preserve">he Director of Forensic Disability may </w:t>
      </w:r>
      <w:r w:rsidR="004F77AB">
        <w:t>decide</w:t>
      </w:r>
      <w:r w:rsidR="0052781D">
        <w:t xml:space="preserve"> to remain elected-in to the matter or may de-elect from the </w:t>
      </w:r>
      <w:r w:rsidR="004151AB">
        <w:t>MHC or MHRT hearing</w:t>
      </w:r>
      <w:r>
        <w:t xml:space="preserve"> based on this subsequent information</w:t>
      </w:r>
      <w:r w:rsidR="004151AB">
        <w:t xml:space="preserve">. </w:t>
      </w:r>
      <w:r w:rsidR="0052781D">
        <w:t xml:space="preserve"> </w:t>
      </w:r>
    </w:p>
    <w:p w14:paraId="5AC985E5" w14:textId="495A2C59" w:rsidR="00ED7906" w:rsidRPr="008647B0" w:rsidRDefault="004151AB" w:rsidP="00ED7906">
      <w:r>
        <w:t xml:space="preserve">Before the MHC (or the MHRT) may order that a person be detained to the FDS, the </w:t>
      </w:r>
      <w:r w:rsidR="00ED7906" w:rsidRPr="008647B0">
        <w:t xml:space="preserve">MHC </w:t>
      </w:r>
      <w:r w:rsidR="00EC2139">
        <w:t>(and the</w:t>
      </w:r>
      <w:r w:rsidR="00ED7906" w:rsidRPr="008647B0">
        <w:t xml:space="preserve"> MHRT</w:t>
      </w:r>
      <w:r w:rsidR="00EC2139">
        <w:t>)</w:t>
      </w:r>
      <w:r w:rsidR="00ED7906" w:rsidRPr="008647B0">
        <w:t xml:space="preserve"> </w:t>
      </w:r>
      <w:r w:rsidR="00C66297">
        <w:t>must</w:t>
      </w:r>
      <w:r w:rsidR="00ED7906" w:rsidRPr="008647B0">
        <w:t xml:space="preserve"> </w:t>
      </w:r>
      <w:r>
        <w:t xml:space="preserve">make a </w:t>
      </w:r>
      <w:r w:rsidR="00ED7906" w:rsidRPr="008647B0">
        <w:t>request</w:t>
      </w:r>
      <w:r>
        <w:t xml:space="preserve"> to the Director of Forensic Disability</w:t>
      </w:r>
      <w:r w:rsidR="00B83404">
        <w:t xml:space="preserve"> for</w:t>
      </w:r>
      <w:r w:rsidR="00C66297">
        <w:t xml:space="preserve"> and be in possession of</w:t>
      </w:r>
      <w:r w:rsidR="00ED7906" w:rsidRPr="008647B0">
        <w:t xml:space="preserve"> a certificate of </w:t>
      </w:r>
      <w:r w:rsidR="00C368BE">
        <w:t>availability</w:t>
      </w:r>
      <w:r>
        <w:t>.</w:t>
      </w:r>
      <w:r w:rsidR="00ED7906" w:rsidRPr="008647B0">
        <w:t xml:space="preserve"> </w:t>
      </w:r>
    </w:p>
    <w:p w14:paraId="00229BF4" w14:textId="4D8FF7C9" w:rsidR="00ED7906" w:rsidRPr="003B2EB2" w:rsidRDefault="00B83404" w:rsidP="00ED7906">
      <w:r>
        <w:t xml:space="preserve">The </w:t>
      </w:r>
      <w:r w:rsidR="004151AB">
        <w:t>certificate of availability</w:t>
      </w:r>
      <w:r>
        <w:t xml:space="preserve"> is signed and provided by the </w:t>
      </w:r>
      <w:r w:rsidR="00ED7906" w:rsidRPr="003B2EB2">
        <w:t>Director-General</w:t>
      </w:r>
      <w:r w:rsidR="008647B0" w:rsidRPr="003B2EB2">
        <w:t xml:space="preserve"> of the Department in which the Act is administered</w:t>
      </w:r>
      <w:r>
        <w:t xml:space="preserve">. </w:t>
      </w:r>
      <w:r w:rsidR="00ED7906" w:rsidRPr="003B2EB2">
        <w:t xml:space="preserve">Where a certificate of </w:t>
      </w:r>
      <w:r w:rsidR="00C368BE">
        <w:t>availability</w:t>
      </w:r>
      <w:r w:rsidR="00ED7906" w:rsidRPr="003B2EB2">
        <w:t xml:space="preserve"> </w:t>
      </w:r>
      <w:r>
        <w:t>is</w:t>
      </w:r>
      <w:r w:rsidR="00ED7906" w:rsidRPr="003B2EB2">
        <w:t xml:space="preserve"> provided, it </w:t>
      </w:r>
      <w:r w:rsidR="00C66297">
        <w:t xml:space="preserve">is possible for the </w:t>
      </w:r>
      <w:r w:rsidR="00ED7906" w:rsidRPr="003B2EB2">
        <w:t xml:space="preserve">MHC </w:t>
      </w:r>
      <w:r w:rsidR="00EC2139">
        <w:t>(</w:t>
      </w:r>
      <w:r w:rsidR="00ED7906" w:rsidRPr="003B2EB2">
        <w:t>or the MHRT</w:t>
      </w:r>
      <w:r w:rsidR="00EC2139">
        <w:t>)</w:t>
      </w:r>
      <w:r w:rsidR="00ED7906" w:rsidRPr="003B2EB2">
        <w:t xml:space="preserve"> </w:t>
      </w:r>
      <w:r w:rsidR="00C66297">
        <w:t xml:space="preserve">to </w:t>
      </w:r>
      <w:r w:rsidR="00EC2139">
        <w:t>determine</w:t>
      </w:r>
      <w:r w:rsidR="00C66297">
        <w:t xml:space="preserve"> </w:t>
      </w:r>
      <w:r w:rsidR="00ED7906" w:rsidRPr="003B2EB2">
        <w:t xml:space="preserve">that the FDS is the most appropriate place for the person, and </w:t>
      </w:r>
      <w:r w:rsidR="00C66297">
        <w:t xml:space="preserve">order the person be </w:t>
      </w:r>
      <w:r w:rsidR="00ED7906" w:rsidRPr="003B2EB2">
        <w:t xml:space="preserve">detained </w:t>
      </w:r>
      <w:r w:rsidR="00D81680">
        <w:t>on a Forensic Order (Disability)</w:t>
      </w:r>
      <w:r w:rsidR="00DA219D">
        <w:t>,</w:t>
      </w:r>
      <w:r w:rsidR="00D81680">
        <w:t xml:space="preserve"> inpatient category </w:t>
      </w:r>
      <w:r>
        <w:t xml:space="preserve">to </w:t>
      </w:r>
      <w:r w:rsidR="00D81680">
        <w:t xml:space="preserve">the </w:t>
      </w:r>
      <w:r w:rsidR="00ED7906" w:rsidRPr="003B2EB2">
        <w:t>FDS</w:t>
      </w:r>
      <w:r w:rsidR="00D81680">
        <w:t>.</w:t>
      </w:r>
      <w:r>
        <w:t xml:space="preserve"> In the event that the Director-General indicates that the FDS does not have availability, the MHC (or MHRT) may not order the person detained to the FDS.</w:t>
      </w:r>
    </w:p>
    <w:p w14:paraId="4AC5997C" w14:textId="31208C66" w:rsidR="00ED7906" w:rsidRPr="003E5B0C" w:rsidRDefault="00ED7906" w:rsidP="007000C4">
      <w:pPr>
        <w:pStyle w:val="Heading4"/>
        <w:numPr>
          <w:ilvl w:val="2"/>
          <w:numId w:val="5"/>
        </w:numPr>
      </w:pPr>
      <w:r w:rsidRPr="003E5B0C">
        <w:t xml:space="preserve">Director of Forensic Disability and Chief Psychiatrist agreement </w:t>
      </w:r>
    </w:p>
    <w:p w14:paraId="483CE2A2" w14:textId="0CD30D56" w:rsidR="00472DA3" w:rsidRDefault="00ED7906" w:rsidP="00ED7906">
      <w:r w:rsidRPr="003B2EB2">
        <w:t xml:space="preserve">The Director of Forensic Disability and the Chief Psychiatrist may agree to transfer </w:t>
      </w:r>
      <w:r w:rsidR="00862B5E">
        <w:t xml:space="preserve">the </w:t>
      </w:r>
      <w:r w:rsidRPr="003B2EB2">
        <w:t xml:space="preserve">responsibility for </w:t>
      </w:r>
      <w:r w:rsidR="00862B5E">
        <w:t>the</w:t>
      </w:r>
      <w:r w:rsidR="002E6915">
        <w:t xml:space="preserve"> person on a </w:t>
      </w:r>
      <w:r w:rsidR="00920262">
        <w:t xml:space="preserve">Forensic Order (Disability) </w:t>
      </w:r>
      <w:r w:rsidRPr="003B2EB2">
        <w:t>from an AMHS to the FDS.</w:t>
      </w:r>
      <w:r w:rsidR="00DA031A">
        <w:t xml:space="preserve"> However</w:t>
      </w:r>
      <w:r w:rsidR="00862B5E">
        <w:t>,</w:t>
      </w:r>
      <w:r w:rsidR="00DA031A">
        <w:t xml:space="preserve"> p</w:t>
      </w:r>
      <w:r w:rsidR="00472DA3">
        <w:t xml:space="preserve">rior to any </w:t>
      </w:r>
      <w:r w:rsidR="00DA031A">
        <w:t>agreement,</w:t>
      </w:r>
      <w:r w:rsidR="00472DA3">
        <w:t xml:space="preserve"> the Director of Forensic Disability</w:t>
      </w:r>
      <w:r w:rsidR="00DA031A">
        <w:t xml:space="preserve"> </w:t>
      </w:r>
      <w:r w:rsidR="00472DA3">
        <w:t>must take into account,</w:t>
      </w:r>
      <w:r w:rsidR="00191E50" w:rsidRPr="00191E50">
        <w:t xml:space="preserve"> a recommendation </w:t>
      </w:r>
      <w:r w:rsidR="00191E50">
        <w:t xml:space="preserve">by the Administrator </w:t>
      </w:r>
      <w:r w:rsidR="00191E50" w:rsidRPr="00191E50">
        <w:t>as to whether the person is considered suitable for FDS</w:t>
      </w:r>
      <w:r w:rsidR="00191E50">
        <w:t xml:space="preserve">, </w:t>
      </w:r>
      <w:r w:rsidR="00DA031A">
        <w:t xml:space="preserve">any </w:t>
      </w:r>
      <w:r w:rsidR="00472DA3">
        <w:t xml:space="preserve">issues raised </w:t>
      </w:r>
      <w:r w:rsidR="00744943">
        <w:t>by the FDS</w:t>
      </w:r>
      <w:r w:rsidR="00DB75DD">
        <w:t xml:space="preserve">, </w:t>
      </w:r>
      <w:r w:rsidR="00191E50">
        <w:t xml:space="preserve">and </w:t>
      </w:r>
      <w:r w:rsidR="00472DA3">
        <w:t xml:space="preserve">the </w:t>
      </w:r>
      <w:bookmarkStart w:id="4" w:name="_Hlk122439656"/>
      <w:r w:rsidR="00472DA3" w:rsidRPr="00DA031A">
        <w:rPr>
          <w:b/>
          <w:bCs/>
          <w:i/>
          <w:iCs/>
        </w:rPr>
        <w:t>transfer considerations</w:t>
      </w:r>
      <w:r w:rsidR="00472DA3">
        <w:t xml:space="preserve"> </w:t>
      </w:r>
      <w:r w:rsidR="00DA031A">
        <w:t>contained in</w:t>
      </w:r>
      <w:r w:rsidR="00472DA3">
        <w:t xml:space="preserve"> section 350 </w:t>
      </w:r>
      <w:r w:rsidR="007000C4" w:rsidRPr="007000C4">
        <w:t>MHA</w:t>
      </w:r>
      <w:r w:rsidR="00472DA3">
        <w:t xml:space="preserve">. </w:t>
      </w:r>
      <w:r w:rsidR="00C07245">
        <w:t xml:space="preserve">These include: </w:t>
      </w:r>
      <w:r w:rsidR="00C07245" w:rsidRPr="00862B5E">
        <w:t>(a) the person’s mental state and psychiatric history; (b) the person’s treatment and care needs; (c) whether the transfer is in the best interests of the person, including, for example, enabling the person to be closer to the person’s family, carers or other support persons; and (d) if relevant, security requirements for the person</w:t>
      </w:r>
      <w:bookmarkEnd w:id="4"/>
      <w:r w:rsidR="00C07245" w:rsidRPr="00862B5E">
        <w:t>.</w:t>
      </w:r>
      <w:r w:rsidR="00622CFF">
        <w:t xml:space="preserve"> </w:t>
      </w:r>
    </w:p>
    <w:p w14:paraId="42F64D6A" w14:textId="69E1ADCE" w:rsidR="00414095" w:rsidRDefault="00DA031A" w:rsidP="00ED7906">
      <w:r>
        <w:t>If an agreement is reached</w:t>
      </w:r>
      <w:r w:rsidR="00414095">
        <w:t>, responsibility for the</w:t>
      </w:r>
      <w:r w:rsidR="00920262">
        <w:t xml:space="preserve"> Forensic Order (Disability) and the</w:t>
      </w:r>
      <w:r w:rsidR="00414095">
        <w:t xml:space="preserve"> </w:t>
      </w:r>
      <w:r>
        <w:t>person</w:t>
      </w:r>
      <w:r w:rsidR="00414095">
        <w:t xml:space="preserve"> </w:t>
      </w:r>
      <w:r w:rsidR="00920262">
        <w:t>will be</w:t>
      </w:r>
      <w:r w:rsidR="00414095">
        <w:t xml:space="preserve"> formally </w:t>
      </w:r>
      <w:r>
        <w:t xml:space="preserve">transferred to the FDS </w:t>
      </w:r>
      <w:r w:rsidR="00D91FD6">
        <w:t xml:space="preserve">in accordance with </w:t>
      </w:r>
      <w:r>
        <w:t xml:space="preserve">section 353 </w:t>
      </w:r>
      <w:r w:rsidR="007000C4" w:rsidRPr="007000C4">
        <w:t>MHA</w:t>
      </w:r>
      <w:r w:rsidR="00414095">
        <w:t xml:space="preserve">. </w:t>
      </w:r>
    </w:p>
    <w:p w14:paraId="199E0C95" w14:textId="68ACEE43" w:rsidR="00ED7906" w:rsidRDefault="00414095" w:rsidP="00ED7906">
      <w:r>
        <w:t>Th</w:t>
      </w:r>
      <w:r w:rsidR="00DA031A">
        <w:t>e</w:t>
      </w:r>
      <w:r w:rsidR="00ED7906" w:rsidRPr="003B2EB2">
        <w:t xml:space="preserve"> Administrator</w:t>
      </w:r>
      <w:r w:rsidR="00DA031A">
        <w:t xml:space="preserve"> of the FDS</w:t>
      </w:r>
      <w:r w:rsidR="00ED7906" w:rsidRPr="003B2EB2">
        <w:t xml:space="preserve"> must give written notice of the transfer to the MHRT within </w:t>
      </w:r>
      <w:r w:rsidR="00ED7906" w:rsidRPr="00414095">
        <w:rPr>
          <w:b/>
          <w:bCs/>
        </w:rPr>
        <w:t>seven days</w:t>
      </w:r>
      <w:r w:rsidR="00ED7906" w:rsidRPr="003B2EB2">
        <w:t xml:space="preserve"> after the day of </w:t>
      </w:r>
      <w:r w:rsidR="00DA031A">
        <w:t xml:space="preserve">the transfer (see s358 </w:t>
      </w:r>
      <w:r w:rsidR="007000C4" w:rsidRPr="007000C4">
        <w:t>MHA</w:t>
      </w:r>
      <w:r w:rsidR="00DA031A">
        <w:t>)</w:t>
      </w:r>
      <w:r w:rsidR="00ED7906" w:rsidRPr="003B2EB2">
        <w:t>.</w:t>
      </w:r>
    </w:p>
    <w:p w14:paraId="11736198" w14:textId="3EC6D523" w:rsidR="007000C4" w:rsidRDefault="00C65726" w:rsidP="007000C4">
      <w:pPr>
        <w:pStyle w:val="Heading3"/>
        <w:numPr>
          <w:ilvl w:val="1"/>
          <w:numId w:val="5"/>
        </w:numPr>
      </w:pPr>
      <w:r w:rsidRPr="009D1880">
        <w:lastRenderedPageBreak/>
        <w:t xml:space="preserve">Admission </w:t>
      </w:r>
    </w:p>
    <w:p w14:paraId="6CEB6E16" w14:textId="1D95646F" w:rsidR="007000C4" w:rsidRPr="007000C4" w:rsidRDefault="007000C4" w:rsidP="007000C4">
      <w:pPr>
        <w:rPr>
          <w:b/>
          <w:bCs/>
          <w:lang w:val="en-US" w:eastAsia="en-US"/>
        </w:rPr>
      </w:pPr>
      <w:r w:rsidRPr="007000C4">
        <w:rPr>
          <w:b/>
          <w:bCs/>
          <w:lang w:val="en-US" w:eastAsia="en-US"/>
        </w:rPr>
        <w:t xml:space="preserve">6.3.1 </w:t>
      </w:r>
      <w:r>
        <w:rPr>
          <w:b/>
          <w:bCs/>
          <w:lang w:val="en-US" w:eastAsia="en-US"/>
        </w:rPr>
        <w:tab/>
      </w:r>
      <w:r w:rsidRPr="007000C4">
        <w:rPr>
          <w:b/>
          <w:bCs/>
          <w:lang w:val="en-US" w:eastAsia="en-US"/>
        </w:rPr>
        <w:t>Development of an Admission Plan</w:t>
      </w:r>
    </w:p>
    <w:p w14:paraId="2BF4BE2B" w14:textId="66CB354B" w:rsidR="00C65726" w:rsidRDefault="00C65726" w:rsidP="00C65726">
      <w:pPr>
        <w:keepNext/>
        <w:keepLines/>
        <w:suppressAutoHyphens/>
      </w:pPr>
      <w:r>
        <w:t>Where a decision</w:t>
      </w:r>
      <w:r w:rsidR="007000C4">
        <w:t xml:space="preserve"> has been made</w:t>
      </w:r>
      <w:r>
        <w:t xml:space="preserve"> to admit the referred person to the FDS</w:t>
      </w:r>
      <w:r w:rsidR="007000C4">
        <w:t>,</w:t>
      </w:r>
      <w:r>
        <w:t xml:space="preserve"> the Administrator of the FDS should ensure that an Admission Plan is prepared in relation to the referred person. The Admission Plan must be in place prior to any admission. </w:t>
      </w:r>
    </w:p>
    <w:p w14:paraId="673036C9" w14:textId="6E5C72AD" w:rsidR="00C65726" w:rsidRDefault="00C65726" w:rsidP="00C65726">
      <w:pPr>
        <w:keepNext/>
        <w:keepLines/>
        <w:suppressAutoHyphens/>
      </w:pPr>
      <w:r w:rsidRPr="00EA260F">
        <w:t xml:space="preserve">The </w:t>
      </w:r>
      <w:r>
        <w:t>Admission Plan</w:t>
      </w:r>
      <w:r w:rsidR="00F44203">
        <w:t xml:space="preserve"> should</w:t>
      </w:r>
      <w:r w:rsidRPr="00EA260F">
        <w:t xml:space="preserve"> outline the programs and services to be provided to the future client by the FDS, the duration the future client is likely to remain at the FDS, and the agreed arrangements for the person to transfer to the FDS</w:t>
      </w:r>
      <w:r>
        <w:t xml:space="preserve"> (see </w:t>
      </w:r>
      <w:r w:rsidRPr="00D433BE">
        <w:rPr>
          <w:i/>
          <w:iCs/>
        </w:rPr>
        <w:t>Director of Forensic Disability Procedure – Referral and Admission to the Forensic Disability Service</w:t>
      </w:r>
      <w:r>
        <w:t xml:space="preserve"> for greater detail regarding the Admission Plan)</w:t>
      </w:r>
      <w:r w:rsidRPr="00EA260F">
        <w:t xml:space="preserve">. </w:t>
      </w:r>
    </w:p>
    <w:p w14:paraId="3FB29B94" w14:textId="77777777" w:rsidR="00C65726" w:rsidRPr="00EA260F" w:rsidRDefault="00C65726" w:rsidP="00C65726">
      <w:pPr>
        <w:suppressAutoHyphens/>
      </w:pPr>
      <w:r w:rsidRPr="00EA260F">
        <w:t xml:space="preserve">The </w:t>
      </w:r>
      <w:r>
        <w:t>Admission Plan</w:t>
      </w:r>
      <w:r w:rsidRPr="00EA260F">
        <w:t xml:space="preserve"> </w:t>
      </w:r>
      <w:r>
        <w:t>should</w:t>
      </w:r>
      <w:r w:rsidRPr="00EA260F">
        <w:t xml:space="preserve"> be developed in collaboration with the AMHS</w:t>
      </w:r>
      <w:r>
        <w:t xml:space="preserve"> and it should be developed with an expectation/understanding that the referred person will transfer back to the oversight of the AMHS when assessed as able to return safely to their community.  </w:t>
      </w:r>
    </w:p>
    <w:p w14:paraId="42075F72" w14:textId="2B5CD222" w:rsidR="00C65726" w:rsidRDefault="00C65726" w:rsidP="00C65726">
      <w:r>
        <w:t xml:space="preserve">Additionally, </w:t>
      </w:r>
      <w:r w:rsidRPr="00EA260F">
        <w:t xml:space="preserve">the </w:t>
      </w:r>
      <w:r>
        <w:t>referred person</w:t>
      </w:r>
      <w:r w:rsidRPr="00EA260F">
        <w:t xml:space="preserve"> will be made aware of the </w:t>
      </w:r>
      <w:r>
        <w:t>Admission Plan</w:t>
      </w:r>
      <w:r w:rsidRPr="00EA260F">
        <w:t xml:space="preserve"> and</w:t>
      </w:r>
      <w:r>
        <w:t xml:space="preserve"> their</w:t>
      </w:r>
      <w:r w:rsidRPr="00EA260F">
        <w:t xml:space="preserve"> responsibility to participate in programs</w:t>
      </w:r>
      <w:r>
        <w:t xml:space="preserve"> offered at the FDS</w:t>
      </w:r>
      <w:r w:rsidRPr="00EA260F">
        <w:t>.</w:t>
      </w:r>
    </w:p>
    <w:p w14:paraId="22F62F28" w14:textId="76B0E960" w:rsidR="00FB3DE4" w:rsidRPr="000C0674" w:rsidRDefault="00FB3DE4" w:rsidP="007000C4">
      <w:pPr>
        <w:pStyle w:val="Heading3"/>
        <w:numPr>
          <w:ilvl w:val="2"/>
          <w:numId w:val="32"/>
        </w:numPr>
      </w:pPr>
      <w:r>
        <w:t>Admission and the development of an Individual Development Plan</w:t>
      </w:r>
    </w:p>
    <w:p w14:paraId="199DF1D3" w14:textId="6781E0BF" w:rsidR="001662FA" w:rsidRDefault="001662FA" w:rsidP="00FA1F93">
      <w:pPr>
        <w:suppressAutoHyphens/>
        <w:rPr>
          <w:lang w:val="en-US"/>
        </w:rPr>
      </w:pPr>
      <w:r>
        <w:rPr>
          <w:lang w:val="en-US"/>
        </w:rPr>
        <w:t>The logistics of</w:t>
      </w:r>
      <w:r w:rsidR="00FB13B7">
        <w:rPr>
          <w:lang w:val="en-US"/>
        </w:rPr>
        <w:t xml:space="preserve"> physically transferring and</w:t>
      </w:r>
      <w:r>
        <w:rPr>
          <w:lang w:val="en-US"/>
        </w:rPr>
        <w:t xml:space="preserve"> admitting a client to the FDS is a planned process negotiated and arranged by the relevant stakeholders. The logistical process of admitting the client must be outlined in the </w:t>
      </w:r>
      <w:r w:rsidR="00DC6783">
        <w:rPr>
          <w:lang w:val="en-US"/>
        </w:rPr>
        <w:t>Admission Plan</w:t>
      </w:r>
      <w:r>
        <w:rPr>
          <w:lang w:val="en-US"/>
        </w:rPr>
        <w:t xml:space="preserve">. </w:t>
      </w:r>
    </w:p>
    <w:p w14:paraId="31F9625B" w14:textId="0DA7B541" w:rsidR="000F5B4B" w:rsidRDefault="001662FA" w:rsidP="00FA1F93">
      <w:pPr>
        <w:suppressAutoHyphens/>
        <w:rPr>
          <w:lang w:val="en-US"/>
        </w:rPr>
      </w:pPr>
      <w:r>
        <w:rPr>
          <w:lang w:val="en-US"/>
        </w:rPr>
        <w:t xml:space="preserve">The Administrator of the FDS should ensure the admission of </w:t>
      </w:r>
      <w:r w:rsidR="00ED1ADB">
        <w:rPr>
          <w:lang w:val="en-US"/>
        </w:rPr>
        <w:t>referred persons</w:t>
      </w:r>
      <w:r>
        <w:rPr>
          <w:lang w:val="en-US"/>
        </w:rPr>
        <w:t xml:space="preserve"> occurs in accordance with the process set out in the </w:t>
      </w:r>
      <w:r w:rsidR="00DC6783">
        <w:rPr>
          <w:lang w:val="en-US"/>
        </w:rPr>
        <w:t>Admission Plan</w:t>
      </w:r>
      <w:r>
        <w:rPr>
          <w:lang w:val="en-US"/>
        </w:rPr>
        <w:t xml:space="preserve">. </w:t>
      </w:r>
      <w:r w:rsidR="000F5B4B">
        <w:rPr>
          <w:lang w:val="en-US"/>
        </w:rPr>
        <w:t>Upon admission</w:t>
      </w:r>
      <w:r w:rsidR="00920262">
        <w:rPr>
          <w:lang w:val="en-US"/>
        </w:rPr>
        <w:t xml:space="preserve"> and</w:t>
      </w:r>
      <w:r w:rsidR="000F5B4B">
        <w:rPr>
          <w:lang w:val="en-US"/>
        </w:rPr>
        <w:t xml:space="preserve"> </w:t>
      </w:r>
      <w:r w:rsidR="00134D7B">
        <w:rPr>
          <w:lang w:val="en-US"/>
        </w:rPr>
        <w:t>in</w:t>
      </w:r>
      <w:r w:rsidR="000F5B4B" w:rsidRPr="004B13E3">
        <w:rPr>
          <w:bCs/>
        </w:rPr>
        <w:t xml:space="preserve"> accordance with the Act</w:t>
      </w:r>
      <w:r w:rsidR="000F5B4B">
        <w:rPr>
          <w:bCs/>
        </w:rPr>
        <w:t>,</w:t>
      </w:r>
      <w:r w:rsidR="000F5B4B" w:rsidRPr="004B13E3">
        <w:rPr>
          <w:bCs/>
        </w:rPr>
        <w:t xml:space="preserve"> the </w:t>
      </w:r>
      <w:r w:rsidR="00E75C56">
        <w:rPr>
          <w:bCs/>
        </w:rPr>
        <w:t xml:space="preserve">referred person is detained </w:t>
      </w:r>
      <w:r w:rsidR="00F44203">
        <w:rPr>
          <w:bCs/>
        </w:rPr>
        <w:t xml:space="preserve">to </w:t>
      </w:r>
      <w:r w:rsidR="00E75C56">
        <w:rPr>
          <w:bCs/>
        </w:rPr>
        <w:t xml:space="preserve">the </w:t>
      </w:r>
      <w:r w:rsidR="000F5B4B" w:rsidRPr="004B13E3">
        <w:rPr>
          <w:bCs/>
        </w:rPr>
        <w:t>FDS in the legal custody of the Administrator</w:t>
      </w:r>
      <w:r w:rsidR="000F5B4B">
        <w:rPr>
          <w:bCs/>
        </w:rPr>
        <w:t>.</w:t>
      </w:r>
      <w:r w:rsidR="000F5B4B">
        <w:rPr>
          <w:lang w:val="en-US"/>
        </w:rPr>
        <w:t xml:space="preserve"> </w:t>
      </w:r>
    </w:p>
    <w:p w14:paraId="2B87C424" w14:textId="0D07BD7D" w:rsidR="00FA1F93" w:rsidRPr="0000654B" w:rsidRDefault="00B7500D" w:rsidP="00FA1F93">
      <w:pPr>
        <w:suppressAutoHyphens/>
      </w:pPr>
      <w:r>
        <w:rPr>
          <w:lang w:val="en-US"/>
        </w:rPr>
        <w:t>Upon</w:t>
      </w:r>
      <w:r w:rsidR="00A81421">
        <w:rPr>
          <w:lang w:val="en-US"/>
        </w:rPr>
        <w:t xml:space="preserve"> admission the Administrator of the FDS must ensure an</w:t>
      </w:r>
      <w:r w:rsidR="00FA1F93" w:rsidRPr="007C146F">
        <w:rPr>
          <w:lang w:val="en-US"/>
        </w:rPr>
        <w:t xml:space="preserve"> Individual Development Plan (IDP) </w:t>
      </w:r>
      <w:r w:rsidR="00A81421">
        <w:rPr>
          <w:lang w:val="en-US"/>
        </w:rPr>
        <w:t xml:space="preserve">is </w:t>
      </w:r>
      <w:r w:rsidR="00FA1F93" w:rsidRPr="007C146F">
        <w:rPr>
          <w:lang w:val="en-US"/>
        </w:rPr>
        <w:t xml:space="preserve">developed for the </w:t>
      </w:r>
      <w:r w:rsidR="00A81421">
        <w:rPr>
          <w:lang w:val="en-US"/>
        </w:rPr>
        <w:t xml:space="preserve">new </w:t>
      </w:r>
      <w:r w:rsidR="00FA1F93" w:rsidRPr="007C146F">
        <w:rPr>
          <w:lang w:val="en-US"/>
        </w:rPr>
        <w:t xml:space="preserve">client. </w:t>
      </w:r>
      <w:r w:rsidR="00FA1F93" w:rsidRPr="007C146F">
        <w:t xml:space="preserve">The IDP </w:t>
      </w:r>
      <w:r w:rsidR="00F44203">
        <w:t>must</w:t>
      </w:r>
      <w:r w:rsidR="00F44203" w:rsidRPr="007C146F">
        <w:t xml:space="preserve"> </w:t>
      </w:r>
      <w:r w:rsidR="00FA1F93" w:rsidRPr="007C146F">
        <w:t xml:space="preserve">be developed </w:t>
      </w:r>
      <w:r w:rsidR="006659A9">
        <w:t>by the Senior Practitioner</w:t>
      </w:r>
      <w:r w:rsidR="00FA1F93" w:rsidRPr="007C146F">
        <w:t xml:space="preserve"> within the first 21 days of the client’s admission. The IDP must be informed by a multidisciplinary assessment, as stipulated in the Act</w:t>
      </w:r>
      <w:r w:rsidR="007000C4">
        <w:t xml:space="preserve">, and </w:t>
      </w:r>
      <w:r w:rsidR="00F44203">
        <w:t>should</w:t>
      </w:r>
      <w:r w:rsidR="00F44203" w:rsidRPr="0000654B">
        <w:t xml:space="preserve"> </w:t>
      </w:r>
      <w:r w:rsidR="00FA1F93" w:rsidRPr="0000654B">
        <w:t xml:space="preserve">also take into account the </w:t>
      </w:r>
      <w:r w:rsidR="00DC6783">
        <w:t>Admission Plan</w:t>
      </w:r>
      <w:r w:rsidR="00FA1F93" w:rsidRPr="00EA260F">
        <w:t xml:space="preserve">. </w:t>
      </w:r>
    </w:p>
    <w:p w14:paraId="23F51AA5" w14:textId="3D48E48C" w:rsidR="00FA1F93" w:rsidRPr="00FA1F93" w:rsidRDefault="00FA1F93" w:rsidP="00FA1F93">
      <w:pPr>
        <w:suppressAutoHyphens/>
        <w:rPr>
          <w:rStyle w:val="Heading4Char"/>
          <w:b w:val="0"/>
          <w:i/>
        </w:rPr>
      </w:pPr>
      <w:r w:rsidRPr="0000654B">
        <w:t xml:space="preserve">The statutory requirements for an IDP are detailed in the </w:t>
      </w:r>
      <w:r w:rsidRPr="0000654B">
        <w:rPr>
          <w:i/>
        </w:rPr>
        <w:t xml:space="preserve">Director of Forensic Disability Policy – Individual Development Plans. </w:t>
      </w:r>
    </w:p>
    <w:p w14:paraId="2F466D16" w14:textId="045262EC" w:rsidR="00FA1F93" w:rsidRPr="009D1880" w:rsidRDefault="009D6E5C" w:rsidP="007000C4">
      <w:pPr>
        <w:pStyle w:val="Heading3"/>
        <w:numPr>
          <w:ilvl w:val="2"/>
          <w:numId w:val="32"/>
        </w:numPr>
      </w:pPr>
      <w:r w:rsidRPr="009D1880">
        <w:t xml:space="preserve">Community based consumers </w:t>
      </w:r>
      <w:r w:rsidR="00FA1F93" w:rsidRPr="009D1880">
        <w:t>participati</w:t>
      </w:r>
      <w:r w:rsidRPr="009D1880">
        <w:t>ng</w:t>
      </w:r>
      <w:r w:rsidR="00FA1F93" w:rsidRPr="009D1880">
        <w:t xml:space="preserve"> in programs</w:t>
      </w:r>
    </w:p>
    <w:p w14:paraId="1F3396C2" w14:textId="4D43638B" w:rsidR="00206E4A" w:rsidRPr="00FA1F93" w:rsidRDefault="00206E4A" w:rsidP="00ED7906">
      <w:pPr>
        <w:suppressAutoHyphens/>
      </w:pPr>
      <w:r w:rsidRPr="00FA1F93">
        <w:t xml:space="preserve">There will be cases where </w:t>
      </w:r>
      <w:r w:rsidR="00783710">
        <w:t>it is</w:t>
      </w:r>
      <w:r w:rsidR="00C65DB5">
        <w:t xml:space="preserve"> concluded that a person may receive benefit from participating in the rehabilitative or habilitative programs at the FDS but not require inpatient admission. </w:t>
      </w:r>
      <w:r w:rsidR="003E5B0C">
        <w:t xml:space="preserve">In </w:t>
      </w:r>
      <w:r w:rsidR="00920262">
        <w:t>such</w:t>
      </w:r>
      <w:r w:rsidR="003E5B0C">
        <w:t xml:space="preserve"> cases the</w:t>
      </w:r>
      <w:r w:rsidR="00A81421">
        <w:t xml:space="preserve"> Administrator of the</w:t>
      </w:r>
      <w:r w:rsidR="003E5B0C">
        <w:t xml:space="preserve"> FDS will decide whether or not to grant the person access to the FDS programs</w:t>
      </w:r>
      <w:r w:rsidR="00C65DB5">
        <w:t xml:space="preserve"> as a community based consumer</w:t>
      </w:r>
      <w:r w:rsidR="003E5B0C">
        <w:t xml:space="preserve">.  </w:t>
      </w:r>
    </w:p>
    <w:p w14:paraId="5484ADC3" w14:textId="490E5CBA" w:rsidR="00206E4A" w:rsidRPr="00FA1F93" w:rsidRDefault="009D6E5C" w:rsidP="00ED7906">
      <w:pPr>
        <w:suppressAutoHyphens/>
      </w:pPr>
      <w:r>
        <w:t>Community based consumer</w:t>
      </w:r>
      <w:r w:rsidR="00FA1F93" w:rsidRPr="00FA1F93">
        <w:t xml:space="preserve"> participation in programs </w:t>
      </w:r>
      <w:r w:rsidR="00A81421">
        <w:t>is</w:t>
      </w:r>
      <w:r w:rsidR="00FA1F93" w:rsidRPr="00FA1F93">
        <w:t xml:space="preserve"> </w:t>
      </w:r>
      <w:r w:rsidR="00206E4A" w:rsidRPr="00FA1F93">
        <w:t>assess</w:t>
      </w:r>
      <w:r w:rsidR="00FA1F93" w:rsidRPr="00FA1F93">
        <w:t>ed</w:t>
      </w:r>
      <w:r w:rsidR="003E5B0C">
        <w:t xml:space="preserve"> by </w:t>
      </w:r>
      <w:r w:rsidR="00A81421">
        <w:t xml:space="preserve">the Administrator </w:t>
      </w:r>
      <w:r w:rsidR="007605FB">
        <w:t xml:space="preserve">and FDS clinical team </w:t>
      </w:r>
      <w:r w:rsidR="00206E4A" w:rsidRPr="00FA1F93">
        <w:t>on a “case by case” basis</w:t>
      </w:r>
      <w:r w:rsidR="00FA1F93" w:rsidRPr="00FA1F93">
        <w:t xml:space="preserve"> and will involve close liaison between relevant services and stakeholders.</w:t>
      </w:r>
    </w:p>
    <w:p w14:paraId="3A1B69B0" w14:textId="5D0C287F" w:rsidR="00A60B5B" w:rsidRDefault="00FA1F93" w:rsidP="00ED7906">
      <w:pPr>
        <w:suppressAutoHyphens/>
      </w:pPr>
      <w:r w:rsidRPr="00FA1F93">
        <w:lastRenderedPageBreak/>
        <w:t>A</w:t>
      </w:r>
      <w:r w:rsidR="00A60B5B" w:rsidRPr="00FA1F93">
        <w:t xml:space="preserve"> person who is not a</w:t>
      </w:r>
      <w:r>
        <w:t xml:space="preserve"> client of the</w:t>
      </w:r>
      <w:r w:rsidRPr="00FA1F93">
        <w:t xml:space="preserve"> FDS </w:t>
      </w:r>
      <w:r w:rsidR="00A60B5B" w:rsidRPr="00FA1F93">
        <w:t xml:space="preserve">cannot be detained in the FDS or remain overnight. </w:t>
      </w:r>
      <w:r w:rsidRPr="00FA1F93">
        <w:t xml:space="preserve">For </w:t>
      </w:r>
      <w:r w:rsidR="009D6E5C">
        <w:t>community based consumers of the FDS programs</w:t>
      </w:r>
      <w:r w:rsidR="009A1022">
        <w:t>,</w:t>
      </w:r>
      <w:r w:rsidR="009D6E5C">
        <w:t xml:space="preserve"> </w:t>
      </w:r>
      <w:r w:rsidRPr="00FA1F93">
        <w:t>an</w:t>
      </w:r>
      <w:r w:rsidR="00A60B5B" w:rsidRPr="00FA1F93">
        <w:t>y</w:t>
      </w:r>
      <w:r w:rsidRPr="00FA1F93">
        <w:t xml:space="preserve"> and all</w:t>
      </w:r>
      <w:r w:rsidR="00A60B5B" w:rsidRPr="00FA1F93">
        <w:t xml:space="preserve"> attendance will require consent from the person and/or their decision maker.</w:t>
      </w:r>
    </w:p>
    <w:p w14:paraId="367A74FE" w14:textId="4E41EF31" w:rsidR="00FB3DE4" w:rsidRDefault="00FB3DE4" w:rsidP="007000C4">
      <w:pPr>
        <w:pStyle w:val="Heading3"/>
        <w:numPr>
          <w:ilvl w:val="2"/>
          <w:numId w:val="32"/>
        </w:numPr>
      </w:pPr>
      <w:r>
        <w:t>Provision of information</w:t>
      </w:r>
    </w:p>
    <w:p w14:paraId="1EB7D47E" w14:textId="553A8F97" w:rsidR="00ED7906" w:rsidRPr="007C146F" w:rsidRDefault="00ED7906" w:rsidP="00ED7906">
      <w:pPr>
        <w:suppressAutoHyphens/>
      </w:pPr>
      <w:r w:rsidRPr="007C146F">
        <w:t xml:space="preserve">The Administrator </w:t>
      </w:r>
      <w:r w:rsidR="000619F7">
        <w:t xml:space="preserve">must </w:t>
      </w:r>
      <w:r w:rsidRPr="007C146F">
        <w:t>ensure the</w:t>
      </w:r>
      <w:r w:rsidR="00B7500D">
        <w:t xml:space="preserve"> new</w:t>
      </w:r>
      <w:r w:rsidRPr="007C146F">
        <w:t xml:space="preserve"> client, their allied person or guardian receives a copy of their Forensic Order (Disability) and a copy of the Statement of Rights. </w:t>
      </w:r>
    </w:p>
    <w:p w14:paraId="28EB6DE3" w14:textId="75757056" w:rsidR="00ED7906" w:rsidRPr="007C146F" w:rsidRDefault="00ED7906" w:rsidP="00ED7906">
      <w:pPr>
        <w:suppressAutoHyphens/>
      </w:pPr>
      <w:r w:rsidRPr="007C146F">
        <w:t xml:space="preserve">Where a client does not have an allied person, the FDS will support the client to choose an allied person. If the Administrator </w:t>
      </w:r>
      <w:r w:rsidR="007605FB">
        <w:t>considers</w:t>
      </w:r>
      <w:r w:rsidRPr="007C146F">
        <w:t xml:space="preserve"> the client does not have capacity to choose an allied person, a suitable allied person will be chosen on their behalf in accordance with the Act (refer to </w:t>
      </w:r>
      <w:r w:rsidRPr="007C146F">
        <w:rPr>
          <w:i/>
        </w:rPr>
        <w:t>Director of Forensic Disability Policy - Client Participation and Representation</w:t>
      </w:r>
      <w:r w:rsidRPr="007C146F">
        <w:t>).</w:t>
      </w:r>
    </w:p>
    <w:p w14:paraId="00F58280" w14:textId="44AAF45F" w:rsidR="00C07245" w:rsidRDefault="00ED7906" w:rsidP="00DB75DD">
      <w:pPr>
        <w:suppressAutoHyphens/>
      </w:pPr>
      <w:r w:rsidRPr="007C146F">
        <w:t>The</w:t>
      </w:r>
      <w:r w:rsidR="00A81421">
        <w:t xml:space="preserve"> </w:t>
      </w:r>
      <w:r w:rsidR="00803B5C">
        <w:t>F</w:t>
      </w:r>
      <w:r w:rsidR="00A81421">
        <w:t>orensic</w:t>
      </w:r>
      <w:r w:rsidRPr="007C146F">
        <w:t xml:space="preserve"> </w:t>
      </w:r>
      <w:r w:rsidR="00803B5C">
        <w:t>O</w:t>
      </w:r>
      <w:r w:rsidRPr="007C146F">
        <w:t>rder</w:t>
      </w:r>
      <w:r w:rsidR="00803B5C">
        <w:t xml:space="preserve"> (Disability)</w:t>
      </w:r>
      <w:r w:rsidRPr="007C146F">
        <w:t xml:space="preserve">, including </w:t>
      </w:r>
      <w:r w:rsidR="00F44203">
        <w:t>attached</w:t>
      </w:r>
      <w:r w:rsidR="00F44203" w:rsidRPr="007C146F">
        <w:t xml:space="preserve"> </w:t>
      </w:r>
      <w:r w:rsidRPr="007C146F">
        <w:t xml:space="preserve">conditions and the Statement of Rights </w:t>
      </w:r>
      <w:r w:rsidR="00803B5C">
        <w:t>are</w:t>
      </w:r>
      <w:r w:rsidRPr="007C146F">
        <w:t xml:space="preserve"> to be explained to the client in a manner and format appropriate to support communication and understanding</w:t>
      </w:r>
      <w:r w:rsidR="00803B5C">
        <w:t>.</w:t>
      </w:r>
      <w:r w:rsidRPr="007C146F">
        <w:t xml:space="preserve">  </w:t>
      </w:r>
    </w:p>
    <w:p w14:paraId="6D6DC776" w14:textId="6E31D0CC" w:rsidR="00FB3DE4" w:rsidRPr="00FB3DE4" w:rsidRDefault="00FB3DE4" w:rsidP="007000C4">
      <w:pPr>
        <w:pStyle w:val="Heading3"/>
        <w:numPr>
          <w:ilvl w:val="2"/>
          <w:numId w:val="32"/>
        </w:numPr>
        <w:rPr>
          <w:rStyle w:val="Heading4Char"/>
          <w:rFonts w:eastAsia="MS Mincho"/>
          <w:b/>
          <w:bCs/>
        </w:rPr>
      </w:pPr>
      <w:r w:rsidRPr="00FB3DE4">
        <w:t>Photographs</w:t>
      </w:r>
    </w:p>
    <w:p w14:paraId="4B1FAA57" w14:textId="08E9BDB4" w:rsidR="00BB6B4C" w:rsidRDefault="00AE6CB6" w:rsidP="00ED7906">
      <w:pPr>
        <w:suppressAutoHyphens/>
      </w:pPr>
      <w:r>
        <w:t xml:space="preserve">The Administrator must ensure that </w:t>
      </w:r>
      <w:r w:rsidR="007605FB">
        <w:t xml:space="preserve">identification photographs are taken for </w:t>
      </w:r>
      <w:r>
        <w:t>a</w:t>
      </w:r>
      <w:r w:rsidR="00ED7906" w:rsidRPr="007C146F">
        <w:t>ll</w:t>
      </w:r>
      <w:r w:rsidR="00F354FD">
        <w:t xml:space="preserve"> new</w:t>
      </w:r>
      <w:r w:rsidR="00ED7906" w:rsidRPr="007C146F">
        <w:t xml:space="preserve"> clients </w:t>
      </w:r>
      <w:r w:rsidR="00F354FD">
        <w:t xml:space="preserve">admitted to the </w:t>
      </w:r>
      <w:r w:rsidR="00ED7906" w:rsidRPr="007C146F">
        <w:t>FDS</w:t>
      </w:r>
      <w:r w:rsidR="006659A9">
        <w:t>, and annually thereafter.</w:t>
      </w:r>
    </w:p>
    <w:p w14:paraId="5BB47825" w14:textId="04F98A7F" w:rsidR="00FB3DE4" w:rsidRPr="007C146F" w:rsidRDefault="00FB3DE4" w:rsidP="007000C4">
      <w:pPr>
        <w:pStyle w:val="Heading3"/>
        <w:numPr>
          <w:ilvl w:val="0"/>
          <w:numId w:val="33"/>
        </w:numPr>
      </w:pPr>
      <w:r>
        <w:t>Confidentiality</w:t>
      </w:r>
    </w:p>
    <w:p w14:paraId="625C27B3" w14:textId="5BEAFDB8" w:rsidR="0034623B" w:rsidRDefault="00AE6CB6" w:rsidP="00ED7906">
      <w:pPr>
        <w:suppressAutoHyphens/>
        <w:spacing w:after="160"/>
        <w:rPr>
          <w:lang w:val="en-US"/>
        </w:rPr>
      </w:pPr>
      <w:r>
        <w:rPr>
          <w:lang w:val="en-US"/>
        </w:rPr>
        <w:t>The Administrator of the FDS must ensure that</w:t>
      </w:r>
      <w:r w:rsidR="0034623B">
        <w:rPr>
          <w:lang w:val="en-US"/>
        </w:rPr>
        <w:t xml:space="preserve"> a</w:t>
      </w:r>
      <w:r w:rsidR="009C3508">
        <w:rPr>
          <w:lang w:val="en-US"/>
        </w:rPr>
        <w:t>ny</w:t>
      </w:r>
      <w:r w:rsidR="0034623B">
        <w:rPr>
          <w:lang w:val="en-US"/>
        </w:rPr>
        <w:t xml:space="preserve"> FDS staff member who gains </w:t>
      </w:r>
      <w:r>
        <w:rPr>
          <w:lang w:val="en-US"/>
        </w:rPr>
        <w:t xml:space="preserve">confidential information through </w:t>
      </w:r>
      <w:r w:rsidR="0034623B">
        <w:rPr>
          <w:lang w:val="en-US"/>
        </w:rPr>
        <w:t xml:space="preserve">the staff member’s </w:t>
      </w:r>
      <w:r>
        <w:rPr>
          <w:lang w:val="en-US"/>
        </w:rPr>
        <w:t>involvement in the admission</w:t>
      </w:r>
      <w:r w:rsidR="0034623B">
        <w:rPr>
          <w:lang w:val="en-US"/>
        </w:rPr>
        <w:t xml:space="preserve"> process manage</w:t>
      </w:r>
      <w:r w:rsidR="00114968">
        <w:rPr>
          <w:lang w:val="en-US"/>
        </w:rPr>
        <w:t xml:space="preserve">s that information </w:t>
      </w:r>
      <w:r w:rsidR="0034623B">
        <w:rPr>
          <w:lang w:val="en-US"/>
        </w:rPr>
        <w:t xml:space="preserve">in accordance with the Confidentiality of information provisions contained in section 122 of the Act. </w:t>
      </w:r>
    </w:p>
    <w:p w14:paraId="2EB001F0" w14:textId="2C887EAF" w:rsidR="00ED7906" w:rsidRPr="004F77AB" w:rsidRDefault="00ED7906" w:rsidP="00ED7906">
      <w:pPr>
        <w:tabs>
          <w:tab w:val="left" w:pos="2552"/>
        </w:tabs>
        <w:spacing w:before="720" w:after="240"/>
        <w:jc w:val="left"/>
        <w:rPr>
          <w:rFonts w:cs="Times New Roman"/>
        </w:rPr>
      </w:pPr>
      <w:bookmarkStart w:id="5" w:name="_Hlk122642138"/>
      <w:r w:rsidRPr="004F77AB">
        <w:rPr>
          <w:rFonts w:cs="Times New Roman"/>
          <w:b/>
        </w:rPr>
        <w:t>Date of approval:</w:t>
      </w:r>
      <w:r w:rsidRPr="004F77AB">
        <w:rPr>
          <w:rFonts w:cs="Times New Roman"/>
        </w:rPr>
        <w:tab/>
      </w:r>
      <w:r w:rsidR="004F77AB">
        <w:t>09 January 2023</w:t>
      </w:r>
    </w:p>
    <w:p w14:paraId="31472842" w14:textId="56E0A678" w:rsidR="00ED7906" w:rsidRPr="004F77AB" w:rsidRDefault="00ED7906" w:rsidP="00ED7906">
      <w:pPr>
        <w:tabs>
          <w:tab w:val="left" w:pos="2552"/>
        </w:tabs>
        <w:spacing w:before="0" w:after="240"/>
        <w:jc w:val="left"/>
        <w:rPr>
          <w:rFonts w:cs="Times New Roman"/>
        </w:rPr>
      </w:pPr>
      <w:r w:rsidRPr="004F77AB">
        <w:rPr>
          <w:rFonts w:cs="Times New Roman"/>
          <w:b/>
        </w:rPr>
        <w:t>Date of operation:</w:t>
      </w:r>
      <w:r w:rsidRPr="004F77AB">
        <w:rPr>
          <w:rFonts w:cs="Times New Roman"/>
        </w:rPr>
        <w:tab/>
      </w:r>
      <w:r w:rsidR="004F77AB">
        <w:t>01 February 2023</w:t>
      </w:r>
    </w:p>
    <w:p w14:paraId="11E03E2D" w14:textId="689D652D" w:rsidR="00ED7906" w:rsidRPr="004F77AB" w:rsidRDefault="00ED7906" w:rsidP="00ED7906">
      <w:pPr>
        <w:pBdr>
          <w:bottom w:val="single" w:sz="6" w:space="1" w:color="auto"/>
        </w:pBdr>
        <w:tabs>
          <w:tab w:val="left" w:pos="2552"/>
        </w:tabs>
        <w:spacing w:before="0" w:after="240"/>
        <w:jc w:val="left"/>
        <w:rPr>
          <w:rFonts w:cs="Times New Roman"/>
        </w:rPr>
      </w:pPr>
      <w:r w:rsidRPr="004F77AB">
        <w:rPr>
          <w:rFonts w:cs="Times New Roman"/>
          <w:b/>
        </w:rPr>
        <w:t>Date to be reviewed:</w:t>
      </w:r>
      <w:r w:rsidRPr="004F77AB">
        <w:rPr>
          <w:rFonts w:cs="Times New Roman"/>
        </w:rPr>
        <w:tab/>
      </w:r>
      <w:r w:rsidR="004F77AB">
        <w:t>01 February 2026</w:t>
      </w:r>
    </w:p>
    <w:p w14:paraId="62BE01C9" w14:textId="490504D4" w:rsidR="00ED7906" w:rsidRPr="004F77AB" w:rsidRDefault="00B7500D" w:rsidP="00ED7906">
      <w:pPr>
        <w:tabs>
          <w:tab w:val="left" w:pos="2552"/>
        </w:tabs>
        <w:spacing w:before="0" w:after="240"/>
        <w:jc w:val="left"/>
        <w:rPr>
          <w:rFonts w:cs="Times New Roman"/>
        </w:rPr>
      </w:pPr>
      <w:r w:rsidRPr="004F77AB">
        <w:rPr>
          <w:rFonts w:cs="Times New Roman"/>
          <w:b/>
        </w:rPr>
        <w:t>Designation</w:t>
      </w:r>
      <w:r w:rsidR="00ED7906" w:rsidRPr="004F77AB">
        <w:rPr>
          <w:rFonts w:cs="Times New Roman"/>
          <w:b/>
        </w:rPr>
        <w:t>:</w:t>
      </w:r>
      <w:r w:rsidR="00ED7906" w:rsidRPr="004F77AB">
        <w:rPr>
          <w:rFonts w:cs="Times New Roman"/>
        </w:rPr>
        <w:tab/>
        <w:t>Director of Forensic Disability</w:t>
      </w:r>
    </w:p>
    <w:p w14:paraId="2E577A20" w14:textId="2FA07A58" w:rsidR="00ED7906" w:rsidRPr="004F77AB" w:rsidRDefault="00ED7906" w:rsidP="00ED7906">
      <w:pPr>
        <w:pBdr>
          <w:bottom w:val="single" w:sz="6" w:space="1" w:color="auto"/>
        </w:pBdr>
        <w:tabs>
          <w:tab w:val="left" w:pos="2552"/>
        </w:tabs>
        <w:spacing w:before="0" w:after="240"/>
        <w:jc w:val="left"/>
        <w:rPr>
          <w:rFonts w:cs="Times New Roman"/>
        </w:rPr>
      </w:pPr>
      <w:r w:rsidRPr="004F77AB">
        <w:rPr>
          <w:rFonts w:cs="Times New Roman"/>
          <w:b/>
        </w:rPr>
        <w:t>Help Contact:</w:t>
      </w:r>
      <w:r w:rsidRPr="004F77AB">
        <w:rPr>
          <w:rFonts w:cs="Times New Roman"/>
        </w:rPr>
        <w:tab/>
      </w:r>
      <w:hyperlink r:id="rId8" w:history="1">
        <w:r w:rsidR="00F10824" w:rsidRPr="004F77AB">
          <w:rPr>
            <w:rStyle w:val="Hyperlink"/>
            <w:rFonts w:cs="Times New Roman"/>
            <w:color w:val="auto"/>
          </w:rPr>
          <w:t>directorforensicdisability@dsdsatsip.qld.gov.au</w:t>
        </w:r>
      </w:hyperlink>
    </w:p>
    <w:p w14:paraId="6CF4EBFF" w14:textId="77777777" w:rsidR="00ED7906" w:rsidRPr="004F77AB" w:rsidRDefault="00ED7906" w:rsidP="00ED7906">
      <w:pPr>
        <w:spacing w:before="0" w:after="240"/>
        <w:jc w:val="left"/>
      </w:pPr>
      <w:r w:rsidRPr="004F77AB">
        <w:rPr>
          <w:rFonts w:cs="Times New Roman"/>
          <w:bCs/>
          <w:sz w:val="24"/>
          <w:szCs w:val="24"/>
        </w:rPr>
        <w:t>Jenny Lynas</w:t>
      </w:r>
      <w:r w:rsidRPr="004F77AB">
        <w:rPr>
          <w:rFonts w:cs="Times New Roman"/>
          <w:bCs/>
          <w:sz w:val="24"/>
          <w:szCs w:val="24"/>
        </w:rPr>
        <w:br/>
        <w:t>Director of Forensic Disability</w:t>
      </w:r>
    </w:p>
    <w:bookmarkEnd w:id="5"/>
    <w:p w14:paraId="0B0E95B1" w14:textId="77777777" w:rsidR="00ED7906" w:rsidRPr="00ED7906" w:rsidRDefault="00ED7906" w:rsidP="00ED7906">
      <w:pPr>
        <w:spacing w:after="240"/>
        <w:jc w:val="left"/>
        <w:rPr>
          <w:color w:val="FF0000"/>
          <w:lang w:val="en-US"/>
        </w:rPr>
      </w:pPr>
    </w:p>
    <w:p w14:paraId="2A40610E" w14:textId="77777777" w:rsidR="0068487C" w:rsidRPr="00ED7906" w:rsidRDefault="0068487C">
      <w:pPr>
        <w:rPr>
          <w:color w:val="FF0000"/>
        </w:rPr>
      </w:pPr>
    </w:p>
    <w:sectPr w:rsidR="0068487C" w:rsidRPr="00ED7906" w:rsidSect="00ED7906">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1701" w:left="1134" w:header="709" w:footer="147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1B61" w14:textId="77777777" w:rsidR="00CB64C2" w:rsidRDefault="00CB64C2" w:rsidP="00CB64C2">
      <w:pPr>
        <w:spacing w:before="0"/>
      </w:pPr>
      <w:r>
        <w:separator/>
      </w:r>
    </w:p>
  </w:endnote>
  <w:endnote w:type="continuationSeparator" w:id="0">
    <w:p w14:paraId="0332B24F" w14:textId="77777777" w:rsidR="00CB64C2" w:rsidRDefault="00CB64C2" w:rsidP="00CB64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BED1" w14:textId="77777777" w:rsidR="00A9606C" w:rsidRDefault="00A96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66769"/>
      <w:docPartObj>
        <w:docPartGallery w:val="Page Numbers (Bottom of Page)"/>
        <w:docPartUnique/>
      </w:docPartObj>
    </w:sdtPr>
    <w:sdtEndPr>
      <w:rPr>
        <w:noProof/>
      </w:rPr>
    </w:sdtEndPr>
    <w:sdtContent>
      <w:p w14:paraId="6E68EA48" w14:textId="77777777" w:rsidR="004F3C85" w:rsidRDefault="007C14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F0C5C4" w14:textId="77777777" w:rsidR="004F3C85" w:rsidRDefault="00DD3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309259"/>
      <w:docPartObj>
        <w:docPartGallery w:val="Page Numbers (Bottom of Page)"/>
        <w:docPartUnique/>
      </w:docPartObj>
    </w:sdtPr>
    <w:sdtEndPr>
      <w:rPr>
        <w:noProof/>
      </w:rPr>
    </w:sdtEndPr>
    <w:sdtContent>
      <w:p w14:paraId="75A67189" w14:textId="77777777" w:rsidR="004F3C85" w:rsidRDefault="007C146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D5E8DC8" w14:textId="77777777" w:rsidR="004F3C85" w:rsidRDefault="00DD3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5C44" w14:textId="77777777" w:rsidR="00CB64C2" w:rsidRDefault="00CB64C2" w:rsidP="00CB64C2">
      <w:pPr>
        <w:spacing w:before="0"/>
      </w:pPr>
      <w:r>
        <w:separator/>
      </w:r>
    </w:p>
  </w:footnote>
  <w:footnote w:type="continuationSeparator" w:id="0">
    <w:p w14:paraId="5A30CA3B" w14:textId="77777777" w:rsidR="00CB64C2" w:rsidRDefault="00CB64C2" w:rsidP="00CB64C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D840" w14:textId="77777777" w:rsidR="00A9606C" w:rsidRDefault="00A96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6B1C" w14:textId="78E9D870" w:rsidR="00715B7B" w:rsidRDefault="007C146F">
    <w:pPr>
      <w:pStyle w:val="Header"/>
    </w:pPr>
    <w:r>
      <w:rPr>
        <w:noProof/>
      </w:rPr>
      <w:drawing>
        <wp:anchor distT="0" distB="0" distL="114300" distR="114300" simplePos="0" relativeHeight="251656704" behindDoc="1" locked="0" layoutInCell="1" allowOverlap="1" wp14:anchorId="517583BE" wp14:editId="244C030A">
          <wp:simplePos x="0" y="0"/>
          <wp:positionH relativeFrom="column">
            <wp:posOffset>-720090</wp:posOffset>
          </wp:positionH>
          <wp:positionV relativeFrom="paragraph">
            <wp:posOffset>-450215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669B" w14:textId="1946AB35" w:rsidR="00715B7B" w:rsidRPr="00507C22" w:rsidRDefault="007C146F" w:rsidP="00507C22">
    <w:pPr>
      <w:pStyle w:val="Header"/>
    </w:pPr>
    <w:r>
      <w:rPr>
        <w:noProof/>
      </w:rPr>
      <w:drawing>
        <wp:anchor distT="0" distB="0" distL="114300" distR="114300" simplePos="0" relativeHeight="251657728" behindDoc="1" locked="0" layoutInCell="1" allowOverlap="1" wp14:anchorId="131D6982" wp14:editId="6A654FA7">
          <wp:simplePos x="0" y="0"/>
          <wp:positionH relativeFrom="page">
            <wp:posOffset>0</wp:posOffset>
          </wp:positionH>
          <wp:positionV relativeFrom="page">
            <wp:posOffset>8353</wp:posOffset>
          </wp:positionV>
          <wp:extent cx="7563599" cy="10690735"/>
          <wp:effectExtent l="0" t="0" r="0" b="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01E"/>
    <w:multiLevelType w:val="multilevel"/>
    <w:tmpl w:val="E25C7564"/>
    <w:lvl w:ilvl="0">
      <w:start w:val="7"/>
      <w:numFmt w:val="decimal"/>
      <w:lvlText w:val="%1"/>
      <w:lvlJc w:val="left"/>
      <w:pPr>
        <w:ind w:left="480" w:hanging="480"/>
      </w:pPr>
      <w:rPr>
        <w:rFonts w:hint="default"/>
        <w:i/>
      </w:rPr>
    </w:lvl>
    <w:lvl w:ilvl="1">
      <w:start w:val="1"/>
      <w:numFmt w:val="decimal"/>
      <w:lvlText w:val="%1.%2"/>
      <w:lvlJc w:val="left"/>
      <w:pPr>
        <w:ind w:left="480" w:hanging="480"/>
      </w:pPr>
      <w:rPr>
        <w:rFonts w:hint="default"/>
        <w:b/>
        <w:bCs w:val="0"/>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042A5DB3"/>
    <w:multiLevelType w:val="hybridMultilevel"/>
    <w:tmpl w:val="BF1E921C"/>
    <w:lvl w:ilvl="0" w:tplc="1A9E6930">
      <w:start w:val="1"/>
      <w:numFmt w:val="bullet"/>
      <w:pStyle w:val="ListParagraph"/>
      <w:lvlText w:val=""/>
      <w:lvlJc w:val="left"/>
      <w:pPr>
        <w:ind w:left="646" w:hanging="36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EB55A1"/>
    <w:multiLevelType w:val="multilevel"/>
    <w:tmpl w:val="5ADC23C2"/>
    <w:lvl w:ilvl="0">
      <w:start w:val="6"/>
      <w:numFmt w:val="decimal"/>
      <w:lvlText w:val="%1"/>
      <w:lvlJc w:val="left"/>
      <w:pPr>
        <w:ind w:left="360" w:hanging="360"/>
      </w:pPr>
      <w:rPr>
        <w:rFonts w:hint="default"/>
        <w:b/>
      </w:rPr>
    </w:lvl>
    <w:lvl w:ilvl="1">
      <w:start w:val="4"/>
      <w:numFmt w:val="decimal"/>
      <w:lvlText w:val="%1.%2"/>
      <w:lvlJc w:val="left"/>
      <w:pPr>
        <w:ind w:left="482" w:hanging="48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9E53D2F"/>
    <w:multiLevelType w:val="multilevel"/>
    <w:tmpl w:val="E25C7564"/>
    <w:lvl w:ilvl="0">
      <w:start w:val="7"/>
      <w:numFmt w:val="decimal"/>
      <w:lvlText w:val="%1"/>
      <w:lvlJc w:val="left"/>
      <w:pPr>
        <w:ind w:left="480" w:hanging="480"/>
      </w:pPr>
      <w:rPr>
        <w:rFonts w:hint="default"/>
        <w:i/>
      </w:rPr>
    </w:lvl>
    <w:lvl w:ilvl="1">
      <w:start w:val="1"/>
      <w:numFmt w:val="decimal"/>
      <w:lvlText w:val="%1.%2"/>
      <w:lvlJc w:val="left"/>
      <w:pPr>
        <w:ind w:left="480" w:hanging="480"/>
      </w:pPr>
      <w:rPr>
        <w:rFonts w:hint="default"/>
        <w:b/>
        <w:bCs w:val="0"/>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09EA12F6"/>
    <w:multiLevelType w:val="multilevel"/>
    <w:tmpl w:val="535EB13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CB3206"/>
    <w:multiLevelType w:val="multilevel"/>
    <w:tmpl w:val="9362C448"/>
    <w:lvl w:ilvl="0">
      <w:start w:val="6"/>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6" w15:restartNumberingAfterBreak="0">
    <w:nsid w:val="0FBD087B"/>
    <w:multiLevelType w:val="multilevel"/>
    <w:tmpl w:val="E9F4E6B6"/>
    <w:lvl w:ilvl="0">
      <w:start w:val="1"/>
      <w:numFmt w:val="decimal"/>
      <w:pStyle w:val="Heading2"/>
      <w:lvlText w:val="%1."/>
      <w:lvlJc w:val="left"/>
      <w:pPr>
        <w:ind w:left="482" w:hanging="482"/>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030E65"/>
    <w:multiLevelType w:val="multilevel"/>
    <w:tmpl w:val="333E544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6D5DAF"/>
    <w:multiLevelType w:val="multilevel"/>
    <w:tmpl w:val="333E544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B92D3A"/>
    <w:multiLevelType w:val="multilevel"/>
    <w:tmpl w:val="E25C7564"/>
    <w:lvl w:ilvl="0">
      <w:start w:val="7"/>
      <w:numFmt w:val="decimal"/>
      <w:lvlText w:val="%1"/>
      <w:lvlJc w:val="left"/>
      <w:pPr>
        <w:ind w:left="480" w:hanging="480"/>
      </w:pPr>
      <w:rPr>
        <w:rFonts w:hint="default"/>
        <w:i/>
      </w:rPr>
    </w:lvl>
    <w:lvl w:ilvl="1">
      <w:start w:val="1"/>
      <w:numFmt w:val="decimal"/>
      <w:lvlText w:val="%1.%2"/>
      <w:lvlJc w:val="left"/>
      <w:pPr>
        <w:ind w:left="480" w:hanging="480"/>
      </w:pPr>
      <w:rPr>
        <w:rFonts w:hint="default"/>
        <w:b/>
        <w:bCs w:val="0"/>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20D3642C"/>
    <w:multiLevelType w:val="multilevel"/>
    <w:tmpl w:val="333E544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752DBF"/>
    <w:multiLevelType w:val="multilevel"/>
    <w:tmpl w:val="A26EF3B0"/>
    <w:styleLink w:val="CurrentList2"/>
    <w:lvl w:ilvl="0">
      <w:start w:val="1"/>
      <w:numFmt w:val="decimal"/>
      <w:lvlText w:val="%1."/>
      <w:lvlJc w:val="left"/>
      <w:pPr>
        <w:ind w:left="482" w:hanging="482"/>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665A03"/>
    <w:multiLevelType w:val="multilevel"/>
    <w:tmpl w:val="E25C7564"/>
    <w:lvl w:ilvl="0">
      <w:start w:val="7"/>
      <w:numFmt w:val="decimal"/>
      <w:lvlText w:val="%1"/>
      <w:lvlJc w:val="left"/>
      <w:pPr>
        <w:ind w:left="480" w:hanging="480"/>
      </w:pPr>
      <w:rPr>
        <w:rFonts w:hint="default"/>
        <w:i/>
      </w:rPr>
    </w:lvl>
    <w:lvl w:ilvl="1">
      <w:start w:val="1"/>
      <w:numFmt w:val="decimal"/>
      <w:lvlText w:val="%1.%2"/>
      <w:lvlJc w:val="left"/>
      <w:pPr>
        <w:ind w:left="480" w:hanging="480"/>
      </w:pPr>
      <w:rPr>
        <w:rFonts w:hint="default"/>
        <w:b/>
        <w:bCs w:val="0"/>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3CB10F89"/>
    <w:multiLevelType w:val="multilevel"/>
    <w:tmpl w:val="333E544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4751A7"/>
    <w:multiLevelType w:val="multilevel"/>
    <w:tmpl w:val="735ABAE2"/>
    <w:lvl w:ilvl="0">
      <w:start w:val="6"/>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1"/>
      <w:numFmt w:val="decimal"/>
      <w:lvlText w:val="%1.%2.%3"/>
      <w:lvlJc w:val="left"/>
      <w:pPr>
        <w:ind w:left="1004"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15" w15:restartNumberingAfterBreak="0">
    <w:nsid w:val="41AD50AA"/>
    <w:multiLevelType w:val="multilevel"/>
    <w:tmpl w:val="8C12F9A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577D9B"/>
    <w:multiLevelType w:val="multilevel"/>
    <w:tmpl w:val="AAF86B7A"/>
    <w:styleLink w:val="CurrentList1"/>
    <w:lvl w:ilvl="0">
      <w:start w:val="1"/>
      <w:numFmt w:val="decimal"/>
      <w:lvlText w:val="%1."/>
      <w:lvlJc w:val="left"/>
      <w:pPr>
        <w:ind w:left="482" w:hanging="482"/>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0A7B05"/>
    <w:multiLevelType w:val="hybridMultilevel"/>
    <w:tmpl w:val="14D0D802"/>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C5561F"/>
    <w:multiLevelType w:val="hybridMultilevel"/>
    <w:tmpl w:val="55E80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E52CC"/>
    <w:multiLevelType w:val="multilevel"/>
    <w:tmpl w:val="333E544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675D34"/>
    <w:multiLevelType w:val="hybridMultilevel"/>
    <w:tmpl w:val="A26EF3B0"/>
    <w:lvl w:ilvl="0" w:tplc="8F4861DE">
      <w:start w:val="1"/>
      <w:numFmt w:val="decimal"/>
      <w:lvlText w:val="%1."/>
      <w:lvlJc w:val="left"/>
      <w:pPr>
        <w:ind w:left="482" w:hanging="482"/>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883EB7"/>
    <w:multiLevelType w:val="multilevel"/>
    <w:tmpl w:val="AF9A1B72"/>
    <w:lvl w:ilvl="0">
      <w:start w:val="6"/>
      <w:numFmt w:val="decimal"/>
      <w:lvlText w:val="%1"/>
      <w:lvlJc w:val="left"/>
      <w:pPr>
        <w:ind w:left="360" w:hanging="360"/>
      </w:pPr>
      <w:rPr>
        <w:rFonts w:hint="default"/>
        <w:b/>
        <w:bCs/>
      </w:rPr>
    </w:lvl>
    <w:lvl w:ilvl="1">
      <w:start w:val="1"/>
      <w:numFmt w:val="decimal"/>
      <w:lvlText w:val="%1.%2"/>
      <w:lvlJc w:val="left"/>
      <w:pPr>
        <w:ind w:left="482" w:hanging="482"/>
      </w:pPr>
      <w:rPr>
        <w:rFonts w:hint="default"/>
      </w:rPr>
    </w:lvl>
    <w:lvl w:ilvl="2">
      <w:start w:val="1"/>
      <w:numFmt w:val="decimal"/>
      <w:lvlText w:val="%1.%2.%3"/>
      <w:lvlJc w:val="left"/>
      <w:pPr>
        <w:ind w:left="482" w:hanging="482"/>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1E51ED"/>
    <w:multiLevelType w:val="hybridMultilevel"/>
    <w:tmpl w:val="7A64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C111A2"/>
    <w:multiLevelType w:val="multilevel"/>
    <w:tmpl w:val="333E544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C1386A"/>
    <w:multiLevelType w:val="multilevel"/>
    <w:tmpl w:val="EE72264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E45D4E"/>
    <w:multiLevelType w:val="multilevel"/>
    <w:tmpl w:val="AF9A1B72"/>
    <w:lvl w:ilvl="0">
      <w:start w:val="6"/>
      <w:numFmt w:val="decimal"/>
      <w:lvlText w:val="%1"/>
      <w:lvlJc w:val="left"/>
      <w:pPr>
        <w:ind w:left="360" w:hanging="360"/>
      </w:pPr>
      <w:rPr>
        <w:rFonts w:hint="default"/>
        <w:b/>
        <w:bCs/>
      </w:rPr>
    </w:lvl>
    <w:lvl w:ilvl="1">
      <w:start w:val="1"/>
      <w:numFmt w:val="decimal"/>
      <w:lvlText w:val="%1.%2"/>
      <w:lvlJc w:val="left"/>
      <w:pPr>
        <w:ind w:left="482" w:hanging="482"/>
      </w:pPr>
      <w:rPr>
        <w:rFonts w:hint="default"/>
      </w:rPr>
    </w:lvl>
    <w:lvl w:ilvl="2">
      <w:start w:val="1"/>
      <w:numFmt w:val="decimal"/>
      <w:lvlText w:val="%1.%2.%3"/>
      <w:lvlJc w:val="left"/>
      <w:pPr>
        <w:ind w:left="482" w:hanging="482"/>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952E69"/>
    <w:multiLevelType w:val="multilevel"/>
    <w:tmpl w:val="333E544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E26AB7"/>
    <w:multiLevelType w:val="multilevel"/>
    <w:tmpl w:val="333E544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41452D"/>
    <w:multiLevelType w:val="multilevel"/>
    <w:tmpl w:val="285EE42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BA70161"/>
    <w:multiLevelType w:val="multilevel"/>
    <w:tmpl w:val="333E544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F5280A"/>
    <w:multiLevelType w:val="multilevel"/>
    <w:tmpl w:val="A530A71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6"/>
  </w:num>
  <w:num w:numId="3">
    <w:abstractNumId w:val="1"/>
  </w:num>
  <w:num w:numId="4">
    <w:abstractNumId w:val="20"/>
  </w:num>
  <w:num w:numId="5">
    <w:abstractNumId w:val="21"/>
  </w:num>
  <w:num w:numId="6">
    <w:abstractNumId w:val="2"/>
  </w:num>
  <w:num w:numId="7">
    <w:abstractNumId w:val="22"/>
  </w:num>
  <w:num w:numId="8">
    <w:abstractNumId w:val="24"/>
  </w:num>
  <w:num w:numId="9">
    <w:abstractNumId w:val="14"/>
  </w:num>
  <w:num w:numId="10">
    <w:abstractNumId w:val="5"/>
  </w:num>
  <w:num w:numId="11">
    <w:abstractNumId w:val="1"/>
  </w:num>
  <w:num w:numId="12">
    <w:abstractNumId w:val="18"/>
  </w:num>
  <w:num w:numId="13">
    <w:abstractNumId w:val="16"/>
  </w:num>
  <w:num w:numId="14">
    <w:abstractNumId w:val="25"/>
  </w:num>
  <w:num w:numId="15">
    <w:abstractNumId w:val="11"/>
  </w:num>
  <w:num w:numId="16">
    <w:abstractNumId w:val="3"/>
  </w:num>
  <w:num w:numId="17">
    <w:abstractNumId w:val="15"/>
  </w:num>
  <w:num w:numId="18">
    <w:abstractNumId w:val="4"/>
  </w:num>
  <w:num w:numId="19">
    <w:abstractNumId w:val="19"/>
  </w:num>
  <w:num w:numId="20">
    <w:abstractNumId w:val="17"/>
  </w:num>
  <w:num w:numId="21">
    <w:abstractNumId w:val="0"/>
  </w:num>
  <w:num w:numId="22">
    <w:abstractNumId w:val="9"/>
  </w:num>
  <w:num w:numId="23">
    <w:abstractNumId w:val="10"/>
  </w:num>
  <w:num w:numId="24">
    <w:abstractNumId w:val="26"/>
  </w:num>
  <w:num w:numId="25">
    <w:abstractNumId w:val="29"/>
  </w:num>
  <w:num w:numId="26">
    <w:abstractNumId w:val="7"/>
  </w:num>
  <w:num w:numId="27">
    <w:abstractNumId w:val="13"/>
  </w:num>
  <w:num w:numId="28">
    <w:abstractNumId w:val="27"/>
  </w:num>
  <w:num w:numId="29">
    <w:abstractNumId w:val="8"/>
  </w:num>
  <w:num w:numId="30">
    <w:abstractNumId w:val="23"/>
  </w:num>
  <w:num w:numId="31">
    <w:abstractNumId w:val="6"/>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06"/>
    <w:rsid w:val="00002B47"/>
    <w:rsid w:val="0000654B"/>
    <w:rsid w:val="00015725"/>
    <w:rsid w:val="000619F7"/>
    <w:rsid w:val="0007180A"/>
    <w:rsid w:val="0007557F"/>
    <w:rsid w:val="00085C4E"/>
    <w:rsid w:val="000976F3"/>
    <w:rsid w:val="000C0674"/>
    <w:rsid w:val="000D4118"/>
    <w:rsid w:val="000E24E3"/>
    <w:rsid w:val="000F5B4B"/>
    <w:rsid w:val="00100F54"/>
    <w:rsid w:val="0011226E"/>
    <w:rsid w:val="00114968"/>
    <w:rsid w:val="00124430"/>
    <w:rsid w:val="00131879"/>
    <w:rsid w:val="00134D7B"/>
    <w:rsid w:val="001662FA"/>
    <w:rsid w:val="00186C02"/>
    <w:rsid w:val="00191E50"/>
    <w:rsid w:val="001B1FBA"/>
    <w:rsid w:val="001D011B"/>
    <w:rsid w:val="001D0740"/>
    <w:rsid w:val="00206E4A"/>
    <w:rsid w:val="002151EB"/>
    <w:rsid w:val="00253CD7"/>
    <w:rsid w:val="002776E4"/>
    <w:rsid w:val="002E6915"/>
    <w:rsid w:val="002E6A9D"/>
    <w:rsid w:val="00305065"/>
    <w:rsid w:val="003112E2"/>
    <w:rsid w:val="00314EA2"/>
    <w:rsid w:val="0032665E"/>
    <w:rsid w:val="0034518F"/>
    <w:rsid w:val="0034623B"/>
    <w:rsid w:val="003A7594"/>
    <w:rsid w:val="003B2EB2"/>
    <w:rsid w:val="003C1241"/>
    <w:rsid w:val="003C6A2C"/>
    <w:rsid w:val="003E5B0C"/>
    <w:rsid w:val="003E652E"/>
    <w:rsid w:val="003E67A6"/>
    <w:rsid w:val="003F5BCD"/>
    <w:rsid w:val="0041039F"/>
    <w:rsid w:val="00414095"/>
    <w:rsid w:val="004151AB"/>
    <w:rsid w:val="004523F7"/>
    <w:rsid w:val="00472DA3"/>
    <w:rsid w:val="00474F25"/>
    <w:rsid w:val="004A5C09"/>
    <w:rsid w:val="004B0F13"/>
    <w:rsid w:val="004B13E3"/>
    <w:rsid w:val="004B43CB"/>
    <w:rsid w:val="004D2E01"/>
    <w:rsid w:val="004E30BF"/>
    <w:rsid w:val="004E525C"/>
    <w:rsid w:val="004F77AB"/>
    <w:rsid w:val="005038D4"/>
    <w:rsid w:val="005127BF"/>
    <w:rsid w:val="005225D8"/>
    <w:rsid w:val="0052781D"/>
    <w:rsid w:val="005561D4"/>
    <w:rsid w:val="00575B61"/>
    <w:rsid w:val="00580824"/>
    <w:rsid w:val="00592F3A"/>
    <w:rsid w:val="005E61D1"/>
    <w:rsid w:val="006054D7"/>
    <w:rsid w:val="00615FAD"/>
    <w:rsid w:val="00622CFF"/>
    <w:rsid w:val="0062326E"/>
    <w:rsid w:val="00631AD8"/>
    <w:rsid w:val="00647CFE"/>
    <w:rsid w:val="006516D6"/>
    <w:rsid w:val="006659A9"/>
    <w:rsid w:val="00677DE7"/>
    <w:rsid w:val="00680B2A"/>
    <w:rsid w:val="0068487C"/>
    <w:rsid w:val="00694982"/>
    <w:rsid w:val="006A00F5"/>
    <w:rsid w:val="006A6334"/>
    <w:rsid w:val="006A6991"/>
    <w:rsid w:val="006D32A1"/>
    <w:rsid w:val="006E07DC"/>
    <w:rsid w:val="006E182D"/>
    <w:rsid w:val="007000C4"/>
    <w:rsid w:val="00700CC1"/>
    <w:rsid w:val="00744943"/>
    <w:rsid w:val="007605FB"/>
    <w:rsid w:val="007617E5"/>
    <w:rsid w:val="00766DD7"/>
    <w:rsid w:val="007737DF"/>
    <w:rsid w:val="00783710"/>
    <w:rsid w:val="00783F62"/>
    <w:rsid w:val="007C146F"/>
    <w:rsid w:val="007E03C1"/>
    <w:rsid w:val="007E6F82"/>
    <w:rsid w:val="007F0883"/>
    <w:rsid w:val="007F6020"/>
    <w:rsid w:val="00802DD5"/>
    <w:rsid w:val="00803B5C"/>
    <w:rsid w:val="00826011"/>
    <w:rsid w:val="00843AAA"/>
    <w:rsid w:val="00862B5E"/>
    <w:rsid w:val="008647B0"/>
    <w:rsid w:val="008651AC"/>
    <w:rsid w:val="00872E9D"/>
    <w:rsid w:val="0088500F"/>
    <w:rsid w:val="008A0F98"/>
    <w:rsid w:val="008A4B6D"/>
    <w:rsid w:val="008C135A"/>
    <w:rsid w:val="008D13FA"/>
    <w:rsid w:val="008D71DC"/>
    <w:rsid w:val="008E2EDB"/>
    <w:rsid w:val="008E677C"/>
    <w:rsid w:val="008E7F89"/>
    <w:rsid w:val="008F4757"/>
    <w:rsid w:val="009061CE"/>
    <w:rsid w:val="00920262"/>
    <w:rsid w:val="00922E72"/>
    <w:rsid w:val="00924DA3"/>
    <w:rsid w:val="00954A53"/>
    <w:rsid w:val="00985FEB"/>
    <w:rsid w:val="009A1022"/>
    <w:rsid w:val="009C3508"/>
    <w:rsid w:val="009D1880"/>
    <w:rsid w:val="009D6E5C"/>
    <w:rsid w:val="00A60B5B"/>
    <w:rsid w:val="00A81421"/>
    <w:rsid w:val="00A8679A"/>
    <w:rsid w:val="00A9606C"/>
    <w:rsid w:val="00AA1071"/>
    <w:rsid w:val="00AD656B"/>
    <w:rsid w:val="00AE6CB6"/>
    <w:rsid w:val="00AF0F1F"/>
    <w:rsid w:val="00AF6FD7"/>
    <w:rsid w:val="00B01638"/>
    <w:rsid w:val="00B1393B"/>
    <w:rsid w:val="00B35F2B"/>
    <w:rsid w:val="00B4309C"/>
    <w:rsid w:val="00B43395"/>
    <w:rsid w:val="00B7500D"/>
    <w:rsid w:val="00B83404"/>
    <w:rsid w:val="00BA0318"/>
    <w:rsid w:val="00BA7F88"/>
    <w:rsid w:val="00BB58C4"/>
    <w:rsid w:val="00BB6640"/>
    <w:rsid w:val="00BB6B4C"/>
    <w:rsid w:val="00BE5719"/>
    <w:rsid w:val="00C07245"/>
    <w:rsid w:val="00C368BE"/>
    <w:rsid w:val="00C47529"/>
    <w:rsid w:val="00C57C7A"/>
    <w:rsid w:val="00C65726"/>
    <w:rsid w:val="00C65DB5"/>
    <w:rsid w:val="00C66297"/>
    <w:rsid w:val="00C91AEA"/>
    <w:rsid w:val="00CB64C2"/>
    <w:rsid w:val="00CC5D0C"/>
    <w:rsid w:val="00CD02B2"/>
    <w:rsid w:val="00CE5C4E"/>
    <w:rsid w:val="00D01FCB"/>
    <w:rsid w:val="00D433BE"/>
    <w:rsid w:val="00D81680"/>
    <w:rsid w:val="00D91FD6"/>
    <w:rsid w:val="00DA031A"/>
    <w:rsid w:val="00DA219D"/>
    <w:rsid w:val="00DB75DD"/>
    <w:rsid w:val="00DC6783"/>
    <w:rsid w:val="00DD3EC0"/>
    <w:rsid w:val="00DD6065"/>
    <w:rsid w:val="00DF1201"/>
    <w:rsid w:val="00E70E66"/>
    <w:rsid w:val="00E75C56"/>
    <w:rsid w:val="00E90E50"/>
    <w:rsid w:val="00EA260F"/>
    <w:rsid w:val="00EC2139"/>
    <w:rsid w:val="00ED1ADB"/>
    <w:rsid w:val="00ED7906"/>
    <w:rsid w:val="00EE5040"/>
    <w:rsid w:val="00F006C9"/>
    <w:rsid w:val="00F10824"/>
    <w:rsid w:val="00F25BEC"/>
    <w:rsid w:val="00F32305"/>
    <w:rsid w:val="00F323D2"/>
    <w:rsid w:val="00F354FD"/>
    <w:rsid w:val="00F436CD"/>
    <w:rsid w:val="00F44203"/>
    <w:rsid w:val="00F7161B"/>
    <w:rsid w:val="00F80019"/>
    <w:rsid w:val="00F83FFF"/>
    <w:rsid w:val="00FA1F93"/>
    <w:rsid w:val="00FB13B7"/>
    <w:rsid w:val="00FB3DE4"/>
    <w:rsid w:val="00FE1BF4"/>
    <w:rsid w:val="00FE2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15A6E7"/>
  <w15:chartTrackingRefBased/>
  <w15:docId w15:val="{A9097CBE-FC5E-4AB4-A7AF-A0DCA9B4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906"/>
    <w:pPr>
      <w:spacing w:before="240" w:after="0" w:line="240" w:lineRule="auto"/>
      <w:jc w:val="both"/>
    </w:pPr>
    <w:rPr>
      <w:rFonts w:ascii="Arial" w:eastAsia="Times New Roman" w:hAnsi="Arial" w:cs="Arial"/>
      <w:lang w:eastAsia="en-AU"/>
    </w:rPr>
  </w:style>
  <w:style w:type="paragraph" w:styleId="Heading1">
    <w:name w:val="heading 1"/>
    <w:basedOn w:val="Normal"/>
    <w:next w:val="Normal"/>
    <w:link w:val="Heading1Char"/>
    <w:qFormat/>
    <w:rsid w:val="00ED7906"/>
    <w:pPr>
      <w:keepNext/>
      <w:spacing w:line="480" w:lineRule="exact"/>
      <w:outlineLvl w:val="0"/>
    </w:pPr>
    <w:rPr>
      <w:b/>
      <w:bCs/>
      <w:kern w:val="32"/>
      <w:sz w:val="48"/>
      <w:szCs w:val="32"/>
    </w:rPr>
  </w:style>
  <w:style w:type="paragraph" w:styleId="Heading2">
    <w:name w:val="heading 2"/>
    <w:basedOn w:val="ListParagraph"/>
    <w:next w:val="Normal"/>
    <w:link w:val="Heading2Char"/>
    <w:qFormat/>
    <w:rsid w:val="00ED7906"/>
    <w:pPr>
      <w:numPr>
        <w:numId w:val="2"/>
      </w:numPr>
      <w:suppressAutoHyphens/>
      <w:spacing w:before="200" w:after="200"/>
      <w:outlineLvl w:val="1"/>
    </w:pPr>
    <w:rPr>
      <w:b/>
    </w:rPr>
  </w:style>
  <w:style w:type="paragraph" w:styleId="Heading3">
    <w:name w:val="heading 3"/>
    <w:basedOn w:val="ListParagraph"/>
    <w:next w:val="Normal"/>
    <w:link w:val="Heading3Char"/>
    <w:qFormat/>
    <w:rsid w:val="00ED7906"/>
    <w:pPr>
      <w:keepNext/>
      <w:numPr>
        <w:numId w:val="0"/>
      </w:numPr>
      <w:tabs>
        <w:tab w:val="left" w:pos="567"/>
      </w:tabs>
      <w:suppressAutoHyphens/>
      <w:spacing w:after="200"/>
      <w:outlineLvl w:val="2"/>
    </w:pPr>
    <w:rPr>
      <w:b/>
    </w:rPr>
  </w:style>
  <w:style w:type="paragraph" w:styleId="Heading4">
    <w:name w:val="heading 4"/>
    <w:basedOn w:val="Normal"/>
    <w:next w:val="Normal"/>
    <w:link w:val="Heading4Char"/>
    <w:qFormat/>
    <w:rsid w:val="00ED7906"/>
    <w:pPr>
      <w:keepNext/>
      <w:keepLines/>
      <w:suppressAutoHyphens/>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906"/>
    <w:rPr>
      <w:rFonts w:ascii="Arial" w:eastAsia="Times New Roman" w:hAnsi="Arial" w:cs="Arial"/>
      <w:b/>
      <w:bCs/>
      <w:kern w:val="32"/>
      <w:sz w:val="48"/>
      <w:szCs w:val="32"/>
      <w:lang w:eastAsia="en-AU"/>
    </w:rPr>
  </w:style>
  <w:style w:type="character" w:customStyle="1" w:styleId="Heading2Char">
    <w:name w:val="Heading 2 Char"/>
    <w:basedOn w:val="DefaultParagraphFont"/>
    <w:link w:val="Heading2"/>
    <w:rsid w:val="00ED7906"/>
    <w:rPr>
      <w:rFonts w:ascii="Arial" w:eastAsia="MS Mincho" w:hAnsi="Arial" w:cs="Arial"/>
      <w:b/>
      <w:lang w:val="en-US"/>
    </w:rPr>
  </w:style>
  <w:style w:type="character" w:customStyle="1" w:styleId="Heading3Char">
    <w:name w:val="Heading 3 Char"/>
    <w:basedOn w:val="DefaultParagraphFont"/>
    <w:link w:val="Heading3"/>
    <w:rsid w:val="00ED7906"/>
    <w:rPr>
      <w:rFonts w:ascii="Arial" w:eastAsia="MS Mincho" w:hAnsi="Arial" w:cs="Arial"/>
      <w:b/>
      <w:lang w:val="en-US"/>
    </w:rPr>
  </w:style>
  <w:style w:type="character" w:customStyle="1" w:styleId="Heading4Char">
    <w:name w:val="Heading 4 Char"/>
    <w:basedOn w:val="DefaultParagraphFont"/>
    <w:link w:val="Heading4"/>
    <w:rsid w:val="00ED7906"/>
    <w:rPr>
      <w:rFonts w:ascii="Arial" w:eastAsia="Times New Roman" w:hAnsi="Arial" w:cs="Arial"/>
      <w:b/>
      <w:lang w:eastAsia="en-AU"/>
    </w:rPr>
  </w:style>
  <w:style w:type="paragraph" w:styleId="Header">
    <w:name w:val="header"/>
    <w:basedOn w:val="Normal"/>
    <w:link w:val="HeaderChar"/>
    <w:rsid w:val="00ED7906"/>
    <w:pPr>
      <w:tabs>
        <w:tab w:val="center" w:pos="4153"/>
        <w:tab w:val="right" w:pos="8306"/>
      </w:tabs>
    </w:pPr>
  </w:style>
  <w:style w:type="character" w:customStyle="1" w:styleId="HeaderChar">
    <w:name w:val="Header Char"/>
    <w:basedOn w:val="DefaultParagraphFont"/>
    <w:link w:val="Header"/>
    <w:rsid w:val="00ED7906"/>
    <w:rPr>
      <w:rFonts w:ascii="Arial" w:eastAsia="Times New Roman" w:hAnsi="Arial" w:cs="Arial"/>
      <w:lang w:eastAsia="en-AU"/>
    </w:rPr>
  </w:style>
  <w:style w:type="paragraph" w:styleId="Footer">
    <w:name w:val="footer"/>
    <w:basedOn w:val="Normal"/>
    <w:link w:val="FooterChar"/>
    <w:uiPriority w:val="99"/>
    <w:rsid w:val="00ED7906"/>
    <w:pPr>
      <w:tabs>
        <w:tab w:val="center" w:pos="4153"/>
        <w:tab w:val="right" w:pos="8306"/>
      </w:tabs>
    </w:pPr>
  </w:style>
  <w:style w:type="character" w:customStyle="1" w:styleId="FooterChar">
    <w:name w:val="Footer Char"/>
    <w:basedOn w:val="DefaultParagraphFont"/>
    <w:link w:val="Footer"/>
    <w:uiPriority w:val="99"/>
    <w:rsid w:val="00ED7906"/>
    <w:rPr>
      <w:rFonts w:ascii="Arial" w:eastAsia="Times New Roman" w:hAnsi="Arial" w:cs="Arial"/>
      <w:lang w:eastAsia="en-AU"/>
    </w:rPr>
  </w:style>
  <w:style w:type="paragraph" w:styleId="ListParagraph">
    <w:name w:val="List Paragraph"/>
    <w:basedOn w:val="Normal"/>
    <w:uiPriority w:val="1"/>
    <w:qFormat/>
    <w:rsid w:val="00ED7906"/>
    <w:pPr>
      <w:numPr>
        <w:numId w:val="3"/>
      </w:numPr>
      <w:contextualSpacing/>
    </w:pPr>
    <w:rPr>
      <w:rFonts w:eastAsia="MS Mincho"/>
      <w:lang w:val="en-US" w:eastAsia="en-US"/>
    </w:rPr>
  </w:style>
  <w:style w:type="character" w:styleId="Hyperlink">
    <w:name w:val="Hyperlink"/>
    <w:basedOn w:val="DefaultParagraphFont"/>
    <w:uiPriority w:val="99"/>
    <w:unhideWhenUsed/>
    <w:rsid w:val="00F10824"/>
    <w:rPr>
      <w:color w:val="0563C1" w:themeColor="hyperlink"/>
      <w:u w:val="single"/>
    </w:rPr>
  </w:style>
  <w:style w:type="character" w:styleId="UnresolvedMention">
    <w:name w:val="Unresolved Mention"/>
    <w:basedOn w:val="DefaultParagraphFont"/>
    <w:uiPriority w:val="99"/>
    <w:semiHidden/>
    <w:unhideWhenUsed/>
    <w:rsid w:val="00F10824"/>
    <w:rPr>
      <w:color w:val="605E5C"/>
      <w:shd w:val="clear" w:color="auto" w:fill="E1DFDD"/>
    </w:rPr>
  </w:style>
  <w:style w:type="character" w:styleId="CommentReference">
    <w:name w:val="annotation reference"/>
    <w:basedOn w:val="DefaultParagraphFont"/>
    <w:uiPriority w:val="99"/>
    <w:semiHidden/>
    <w:unhideWhenUsed/>
    <w:rsid w:val="00924DA3"/>
    <w:rPr>
      <w:sz w:val="16"/>
      <w:szCs w:val="16"/>
    </w:rPr>
  </w:style>
  <w:style w:type="paragraph" w:styleId="CommentText">
    <w:name w:val="annotation text"/>
    <w:basedOn w:val="Normal"/>
    <w:link w:val="CommentTextChar"/>
    <w:uiPriority w:val="99"/>
    <w:semiHidden/>
    <w:unhideWhenUsed/>
    <w:rsid w:val="00924DA3"/>
    <w:rPr>
      <w:sz w:val="20"/>
      <w:szCs w:val="20"/>
    </w:rPr>
  </w:style>
  <w:style w:type="character" w:customStyle="1" w:styleId="CommentTextChar">
    <w:name w:val="Comment Text Char"/>
    <w:basedOn w:val="DefaultParagraphFont"/>
    <w:link w:val="CommentText"/>
    <w:uiPriority w:val="99"/>
    <w:semiHidden/>
    <w:rsid w:val="00924DA3"/>
    <w:rPr>
      <w:rFonts w:ascii="Arial" w:eastAsia="Times New Roman"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924DA3"/>
    <w:rPr>
      <w:b/>
      <w:bCs/>
    </w:rPr>
  </w:style>
  <w:style w:type="character" w:customStyle="1" w:styleId="CommentSubjectChar">
    <w:name w:val="Comment Subject Char"/>
    <w:basedOn w:val="CommentTextChar"/>
    <w:link w:val="CommentSubject"/>
    <w:uiPriority w:val="99"/>
    <w:semiHidden/>
    <w:rsid w:val="00924DA3"/>
    <w:rPr>
      <w:rFonts w:ascii="Arial" w:eastAsia="Times New Roman" w:hAnsi="Arial" w:cs="Arial"/>
      <w:b/>
      <w:bCs/>
      <w:sz w:val="20"/>
      <w:szCs w:val="20"/>
      <w:lang w:eastAsia="en-AU"/>
    </w:rPr>
  </w:style>
  <w:style w:type="numbering" w:customStyle="1" w:styleId="CurrentList1">
    <w:name w:val="Current List1"/>
    <w:uiPriority w:val="99"/>
    <w:rsid w:val="000D4118"/>
    <w:pPr>
      <w:numPr>
        <w:numId w:val="13"/>
      </w:numPr>
    </w:pPr>
  </w:style>
  <w:style w:type="numbering" w:customStyle="1" w:styleId="CurrentList2">
    <w:name w:val="Current List2"/>
    <w:uiPriority w:val="99"/>
    <w:rsid w:val="008A4B6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DD80B-A488-4E36-9B09-4526BFB5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Referral and Admission to the Forensic Disability Service</vt:lpstr>
    </vt:vector>
  </TitlesOfParts>
  <Company>Queensland Government</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and Admission to the Forensic Disability Service</dc:title>
  <dc:subject>Referral and Admission to the Forensic Disability Service Policy</dc:subject>
  <dc:creator>Jenny Lynas</dc:creator>
  <cp:keywords>operational; policy; referral; admission; director; forensic; disability; client</cp:keywords>
  <dc:description/>
  <cp:lastModifiedBy>Elizabeth M Lane</cp:lastModifiedBy>
  <cp:revision>4</cp:revision>
  <cp:lastPrinted>2022-08-29T02:09:00Z</cp:lastPrinted>
  <dcterms:created xsi:type="dcterms:W3CDTF">2022-12-22T12:57:00Z</dcterms:created>
  <dcterms:modified xsi:type="dcterms:W3CDTF">2022-12-23T04:20:00Z</dcterms:modified>
  <cp:category>Referral and Admission to the Forensic Disability Service Policy</cp:category>
</cp:coreProperties>
</file>