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3322C" w14:textId="783B63B6" w:rsidR="00861193" w:rsidRPr="00DE7318" w:rsidRDefault="00861193" w:rsidP="00861193">
      <w:pPr>
        <w:pStyle w:val="Heading1"/>
        <w:jc w:val="center"/>
        <w:rPr>
          <w:szCs w:val="48"/>
        </w:rPr>
      </w:pPr>
      <w:r w:rsidRPr="00DE7318">
        <w:rPr>
          <w:szCs w:val="48"/>
        </w:rPr>
        <w:t>Director of Forensic Disability</w:t>
      </w:r>
    </w:p>
    <w:p w14:paraId="70D897C6" w14:textId="42588EC9" w:rsidR="00861193" w:rsidRPr="00DE7318" w:rsidRDefault="003D7D20" w:rsidP="00861193">
      <w:pPr>
        <w:pStyle w:val="Heading1"/>
        <w:jc w:val="center"/>
        <w:rPr>
          <w:szCs w:val="48"/>
        </w:rPr>
      </w:pPr>
      <w:r>
        <w:rPr>
          <w:szCs w:val="48"/>
        </w:rPr>
        <w:t>PROCEDURE</w:t>
      </w:r>
    </w:p>
    <w:p w14:paraId="4043864F" w14:textId="133CB780" w:rsidR="00861193" w:rsidRPr="00EE46E8" w:rsidRDefault="00861193" w:rsidP="00861193">
      <w:pPr>
        <w:pStyle w:val="Heading1"/>
        <w:pBdr>
          <w:bottom w:val="single" w:sz="6" w:space="1" w:color="auto"/>
        </w:pBdr>
        <w:spacing w:before="360" w:after="360"/>
        <w:rPr>
          <w:b w:val="0"/>
          <w:sz w:val="36"/>
          <w:szCs w:val="36"/>
        </w:rPr>
      </w:pPr>
      <w:r w:rsidRPr="00EE46E8">
        <w:rPr>
          <w:sz w:val="36"/>
          <w:szCs w:val="36"/>
        </w:rPr>
        <w:t>Title:</w:t>
      </w:r>
      <w:r w:rsidRPr="00EE46E8">
        <w:rPr>
          <w:sz w:val="36"/>
          <w:szCs w:val="36"/>
        </w:rPr>
        <w:tab/>
      </w:r>
      <w:r w:rsidR="00204104">
        <w:rPr>
          <w:b w:val="0"/>
          <w:sz w:val="36"/>
          <w:szCs w:val="36"/>
        </w:rPr>
        <w:t>Working with Allied Persons</w:t>
      </w:r>
    </w:p>
    <w:p w14:paraId="3330D436" w14:textId="56379E34" w:rsidR="003D7D20" w:rsidRPr="00E855B8" w:rsidRDefault="003D7D20" w:rsidP="00204104">
      <w:pPr>
        <w:pStyle w:val="Heading2"/>
      </w:pPr>
      <w:r w:rsidRPr="00E855B8">
        <w:t>Purpose</w:t>
      </w:r>
    </w:p>
    <w:p w14:paraId="55F26E3E" w14:textId="77777777" w:rsidR="00204104" w:rsidRPr="00F66558" w:rsidRDefault="00204104" w:rsidP="00E313FC">
      <w:pPr>
        <w:suppressAutoHyphens/>
        <w:jc w:val="both"/>
        <w:rPr>
          <w:rFonts w:cs="Arial"/>
          <w:szCs w:val="22"/>
        </w:rPr>
      </w:pPr>
      <w:r>
        <w:rPr>
          <w:rFonts w:cs="Arial"/>
          <w:szCs w:val="22"/>
        </w:rPr>
        <w:t>This</w:t>
      </w:r>
      <w:r w:rsidRPr="00F66558">
        <w:rPr>
          <w:rFonts w:cs="Arial"/>
          <w:szCs w:val="22"/>
        </w:rPr>
        <w:t xml:space="preserve"> procedure </w:t>
      </w:r>
      <w:r>
        <w:rPr>
          <w:rFonts w:cs="Arial"/>
          <w:szCs w:val="22"/>
        </w:rPr>
        <w:t xml:space="preserve">is issued by the Director of Forensic Disability in accordance with section 91 of the </w:t>
      </w:r>
      <w:r>
        <w:rPr>
          <w:rFonts w:cs="Arial"/>
          <w:i/>
          <w:szCs w:val="22"/>
        </w:rPr>
        <w:t xml:space="preserve">Forensic Disability Act 2011 </w:t>
      </w:r>
      <w:r>
        <w:rPr>
          <w:rFonts w:cs="Arial"/>
          <w:szCs w:val="22"/>
        </w:rPr>
        <w:t>(the Act) and provides guidance to staff of the</w:t>
      </w:r>
      <w:r w:rsidRPr="00F66558">
        <w:rPr>
          <w:rFonts w:cs="Arial"/>
          <w:szCs w:val="22"/>
        </w:rPr>
        <w:t xml:space="preserve"> Forensic Disability Service (FDS) </w:t>
      </w:r>
      <w:r>
        <w:rPr>
          <w:rFonts w:cs="Arial"/>
          <w:szCs w:val="22"/>
        </w:rPr>
        <w:t>in relation to working</w:t>
      </w:r>
      <w:r w:rsidRPr="00F66558">
        <w:rPr>
          <w:rFonts w:cs="Arial"/>
          <w:szCs w:val="22"/>
        </w:rPr>
        <w:t xml:space="preserve"> with </w:t>
      </w:r>
      <w:r>
        <w:rPr>
          <w:rFonts w:cs="Arial"/>
          <w:szCs w:val="22"/>
        </w:rPr>
        <w:t>allied persons</w:t>
      </w:r>
      <w:r w:rsidRPr="00F66558">
        <w:rPr>
          <w:rFonts w:cs="Arial"/>
          <w:szCs w:val="22"/>
        </w:rPr>
        <w:t>.</w:t>
      </w:r>
      <w:r>
        <w:rPr>
          <w:rFonts w:cs="Arial"/>
          <w:szCs w:val="22"/>
        </w:rPr>
        <w:t xml:space="preserve"> </w:t>
      </w:r>
    </w:p>
    <w:p w14:paraId="46B294F0" w14:textId="77777777" w:rsidR="00204104" w:rsidRDefault="00204104" w:rsidP="00E313FC">
      <w:pPr>
        <w:autoSpaceDE w:val="0"/>
        <w:autoSpaceDN w:val="0"/>
        <w:adjustRightInd w:val="0"/>
        <w:jc w:val="both"/>
        <w:rPr>
          <w:rFonts w:cs="Arial"/>
          <w:bCs/>
          <w:szCs w:val="22"/>
        </w:rPr>
      </w:pPr>
      <w:r>
        <w:rPr>
          <w:rFonts w:cs="Arial"/>
          <w:bCs/>
          <w:szCs w:val="22"/>
        </w:rPr>
        <w:t>The procedure:</w:t>
      </w:r>
    </w:p>
    <w:p w14:paraId="7E335744" w14:textId="1B633CF7" w:rsidR="00204104" w:rsidRDefault="00204104" w:rsidP="00E313FC">
      <w:pPr>
        <w:pStyle w:val="ListParagraph"/>
        <w:numPr>
          <w:ilvl w:val="0"/>
          <w:numId w:val="16"/>
        </w:numPr>
        <w:jc w:val="both"/>
      </w:pPr>
      <w:r w:rsidRPr="00864FA3">
        <w:t>recognise</w:t>
      </w:r>
      <w:r>
        <w:t>s</w:t>
      </w:r>
      <w:r w:rsidRPr="00864FA3">
        <w:t xml:space="preserve"> the statutory role the </w:t>
      </w:r>
      <w:r>
        <w:t>allied person</w:t>
      </w:r>
      <w:r w:rsidRPr="00864FA3">
        <w:t xml:space="preserve"> holds in the life of the client and ensure</w:t>
      </w:r>
      <w:r>
        <w:t>s</w:t>
      </w:r>
      <w:r w:rsidRPr="00864FA3">
        <w:t xml:space="preserve"> they are provided with all the information they require to </w:t>
      </w:r>
      <w:r w:rsidR="00625703">
        <w:t>fulfil</w:t>
      </w:r>
      <w:r w:rsidR="00625703" w:rsidRPr="00864FA3">
        <w:t xml:space="preserve"> </w:t>
      </w:r>
      <w:r w:rsidRPr="00864FA3">
        <w:t>that role</w:t>
      </w:r>
      <w:r>
        <w:t>; and</w:t>
      </w:r>
    </w:p>
    <w:p w14:paraId="12A7CAB6" w14:textId="77777777" w:rsidR="00204104" w:rsidRPr="006C180B" w:rsidRDefault="00204104" w:rsidP="00E313FC">
      <w:pPr>
        <w:pStyle w:val="ListParagraph"/>
        <w:numPr>
          <w:ilvl w:val="0"/>
          <w:numId w:val="16"/>
        </w:numPr>
        <w:jc w:val="both"/>
        <w:rPr>
          <w:rFonts w:cs="Arial"/>
          <w:bCs/>
          <w:szCs w:val="22"/>
        </w:rPr>
      </w:pPr>
      <w:r>
        <w:rPr>
          <w:szCs w:val="22"/>
        </w:rPr>
        <w:t xml:space="preserve">outlines how FDS staff are to </w:t>
      </w:r>
      <w:r w:rsidRPr="00864FA3">
        <w:rPr>
          <w:szCs w:val="22"/>
        </w:rPr>
        <w:t xml:space="preserve">work in partnership with </w:t>
      </w:r>
      <w:r>
        <w:rPr>
          <w:szCs w:val="22"/>
        </w:rPr>
        <w:t>a client’s chosen or nominated allied person</w:t>
      </w:r>
      <w:r w:rsidRPr="00864FA3">
        <w:rPr>
          <w:szCs w:val="22"/>
        </w:rPr>
        <w:t xml:space="preserve"> and their guardian</w:t>
      </w:r>
      <w:r>
        <w:rPr>
          <w:szCs w:val="22"/>
        </w:rPr>
        <w:t>/</w:t>
      </w:r>
      <w:r w:rsidRPr="00864FA3">
        <w:rPr>
          <w:szCs w:val="22"/>
        </w:rPr>
        <w:t>s</w:t>
      </w:r>
      <w:r>
        <w:rPr>
          <w:szCs w:val="22"/>
        </w:rPr>
        <w:t xml:space="preserve"> to:</w:t>
      </w:r>
    </w:p>
    <w:p w14:paraId="4A185719" w14:textId="77777777" w:rsidR="00204104" w:rsidRPr="00864FA3" w:rsidRDefault="00204104" w:rsidP="00E313FC">
      <w:pPr>
        <w:pStyle w:val="ListParagraph"/>
        <w:numPr>
          <w:ilvl w:val="0"/>
          <w:numId w:val="17"/>
        </w:numPr>
        <w:jc w:val="both"/>
      </w:pPr>
      <w:r w:rsidRPr="00864FA3">
        <w:t>ensure they are provided with opportunities to contribute to the development of an Individual Development Plan (IDP)</w:t>
      </w:r>
      <w:r>
        <w:t>;</w:t>
      </w:r>
    </w:p>
    <w:p w14:paraId="22D22FA7" w14:textId="77777777" w:rsidR="00204104" w:rsidRPr="00864FA3" w:rsidRDefault="00204104" w:rsidP="00E313FC">
      <w:pPr>
        <w:pStyle w:val="ListParagraph"/>
        <w:numPr>
          <w:ilvl w:val="0"/>
          <w:numId w:val="17"/>
        </w:numPr>
        <w:jc w:val="both"/>
      </w:pPr>
      <w:r w:rsidRPr="00864FA3">
        <w:t xml:space="preserve">ensure clients are supported to the greatest extent practicable by their allied person and/or guardian, to participate in decision making and are informed and supported to exercise their rights under the </w:t>
      </w:r>
      <w:r>
        <w:t>Act; and</w:t>
      </w:r>
    </w:p>
    <w:p w14:paraId="747ADDC6" w14:textId="77777777" w:rsidR="00204104" w:rsidRDefault="00204104" w:rsidP="00E313FC">
      <w:pPr>
        <w:pStyle w:val="ListParagraph"/>
        <w:numPr>
          <w:ilvl w:val="0"/>
          <w:numId w:val="17"/>
        </w:numPr>
        <w:jc w:val="both"/>
      </w:pPr>
      <w:r w:rsidRPr="00864FA3">
        <w:t>ensure an allied person and/or guardian is provided with opportunities to participate in decision-making as required and as appropriate, including those decisions to support the client’s reintegration into the community.</w:t>
      </w:r>
    </w:p>
    <w:p w14:paraId="7EC29A56" w14:textId="77777777" w:rsidR="00204104" w:rsidRDefault="00204104" w:rsidP="00E313FC">
      <w:pPr>
        <w:pStyle w:val="ListParagraph"/>
        <w:ind w:left="1440"/>
        <w:jc w:val="both"/>
      </w:pPr>
    </w:p>
    <w:p w14:paraId="5C5EC3A7" w14:textId="77777777" w:rsidR="00204104" w:rsidRDefault="00204104" w:rsidP="00E313FC">
      <w:pPr>
        <w:autoSpaceDE w:val="0"/>
        <w:autoSpaceDN w:val="0"/>
        <w:adjustRightInd w:val="0"/>
        <w:jc w:val="both"/>
        <w:rPr>
          <w:rFonts w:cs="Arial"/>
          <w:bCs/>
          <w:i/>
          <w:szCs w:val="22"/>
        </w:rPr>
      </w:pPr>
      <w:r>
        <w:rPr>
          <w:rFonts w:cs="Arial"/>
          <w:bCs/>
          <w:szCs w:val="22"/>
        </w:rPr>
        <w:t xml:space="preserve">This procedure is to be read in conjunction with the </w:t>
      </w:r>
      <w:r w:rsidRPr="003E2E6B">
        <w:rPr>
          <w:rFonts w:cs="Arial"/>
          <w:bCs/>
          <w:i/>
          <w:szCs w:val="22"/>
        </w:rPr>
        <w:t>Director of Forensic Disability Policy – Client Participation and Representation.</w:t>
      </w:r>
    </w:p>
    <w:p w14:paraId="0FBA70D3" w14:textId="77777777" w:rsidR="00204104" w:rsidRPr="00204104" w:rsidRDefault="00204104" w:rsidP="00E313FC">
      <w:pPr>
        <w:pStyle w:val="Heading2"/>
      </w:pPr>
      <w:r w:rsidRPr="00204104">
        <w:t>Background</w:t>
      </w:r>
    </w:p>
    <w:p w14:paraId="7E87117C" w14:textId="77777777" w:rsidR="00204104" w:rsidRDefault="00204104" w:rsidP="00E313FC">
      <w:pPr>
        <w:suppressAutoHyphens/>
        <w:jc w:val="both"/>
      </w:pPr>
      <w:r w:rsidRPr="00864FA3">
        <w:t xml:space="preserve">The function of the </w:t>
      </w:r>
      <w:r>
        <w:t>a</w:t>
      </w:r>
      <w:r w:rsidRPr="00864FA3">
        <w:t xml:space="preserve">llied </w:t>
      </w:r>
      <w:r>
        <w:t>p</w:t>
      </w:r>
      <w:r w:rsidRPr="00864FA3">
        <w:t xml:space="preserve">erson is to help represent the client’s </w:t>
      </w:r>
      <w:r>
        <w:t xml:space="preserve">views, </w:t>
      </w:r>
      <w:r w:rsidRPr="00864FA3">
        <w:t>wishes and interests relating to the client</w:t>
      </w:r>
      <w:r>
        <w:t>’</w:t>
      </w:r>
      <w:r w:rsidRPr="00864FA3">
        <w:t xml:space="preserve">s assessment, detention, care, </w:t>
      </w:r>
      <w:proofErr w:type="gramStart"/>
      <w:r w:rsidRPr="00864FA3">
        <w:t>support</w:t>
      </w:r>
      <w:proofErr w:type="gramEnd"/>
      <w:r w:rsidRPr="00864FA3">
        <w:t xml:space="preserve"> and protection. The </w:t>
      </w:r>
      <w:r>
        <w:t>a</w:t>
      </w:r>
      <w:r w:rsidRPr="00864FA3">
        <w:t xml:space="preserve">llied </w:t>
      </w:r>
      <w:r>
        <w:t>p</w:t>
      </w:r>
      <w:r w:rsidRPr="00864FA3">
        <w:t xml:space="preserve">erson role </w:t>
      </w:r>
      <w:r>
        <w:t>assists in</w:t>
      </w:r>
      <w:r w:rsidRPr="00864FA3">
        <w:t xml:space="preserve"> safeguard</w:t>
      </w:r>
      <w:r>
        <w:t>ing</w:t>
      </w:r>
      <w:r w:rsidRPr="00864FA3">
        <w:t xml:space="preserve"> the rights of clients under the </w:t>
      </w:r>
      <w:r>
        <w:t>Act.</w:t>
      </w:r>
    </w:p>
    <w:p w14:paraId="64696171" w14:textId="77777777" w:rsidR="00204104" w:rsidRPr="00864FA3" w:rsidRDefault="00204104" w:rsidP="00E313FC">
      <w:pPr>
        <w:suppressAutoHyphens/>
        <w:jc w:val="both"/>
      </w:pPr>
      <w:r w:rsidRPr="00864FA3">
        <w:t xml:space="preserve">The </w:t>
      </w:r>
      <w:r>
        <w:t>Act promotes allied person</w:t>
      </w:r>
      <w:r w:rsidRPr="00864FA3">
        <w:t xml:space="preserve"> involvement in decision making </w:t>
      </w:r>
      <w:proofErr w:type="gramStart"/>
      <w:r w:rsidRPr="00864FA3">
        <w:t>in order to</w:t>
      </w:r>
      <w:proofErr w:type="gramEnd"/>
      <w:r w:rsidRPr="00864FA3">
        <w:t xml:space="preserve"> ensure that the Mental Health Review Tribunal (MHRT) and the clinical team are able to make the best possible decisions in relation to each client’s individual needs</w:t>
      </w:r>
      <w:r>
        <w:t xml:space="preserve">. </w:t>
      </w:r>
    </w:p>
    <w:p w14:paraId="06B247D8" w14:textId="77777777" w:rsidR="0004081B" w:rsidRDefault="0004081B">
      <w:pPr>
        <w:spacing w:after="0"/>
      </w:pPr>
      <w:r>
        <w:br w:type="page"/>
      </w:r>
    </w:p>
    <w:p w14:paraId="681B332C" w14:textId="579EEB35" w:rsidR="00204104" w:rsidRDefault="00204104" w:rsidP="00E313FC">
      <w:pPr>
        <w:suppressAutoHyphens/>
        <w:jc w:val="both"/>
      </w:pPr>
      <w:r>
        <w:lastRenderedPageBreak/>
        <w:t>Specifically, the allied p</w:t>
      </w:r>
      <w:r w:rsidRPr="00864FA3">
        <w:t>erson</w:t>
      </w:r>
      <w:r>
        <w:t xml:space="preserve"> may</w:t>
      </w:r>
      <w:r w:rsidRPr="00864FA3">
        <w:t>:</w:t>
      </w:r>
    </w:p>
    <w:p w14:paraId="3620C480" w14:textId="77777777" w:rsidR="00204104" w:rsidRPr="00864FA3" w:rsidRDefault="00204104" w:rsidP="00E313FC">
      <w:pPr>
        <w:pStyle w:val="ListParagraph"/>
        <w:numPr>
          <w:ilvl w:val="0"/>
          <w:numId w:val="18"/>
        </w:numPr>
        <w:jc w:val="both"/>
      </w:pPr>
      <w:r w:rsidRPr="00864FA3">
        <w:t xml:space="preserve">help the client understand their rights </w:t>
      </w:r>
      <w:r>
        <w:t xml:space="preserve">throughout the time they are detained in the FDS, </w:t>
      </w:r>
      <w:r w:rsidRPr="00864FA3">
        <w:t>and can assist them in exercising those rights</w:t>
      </w:r>
      <w:r>
        <w:t>;</w:t>
      </w:r>
    </w:p>
    <w:p w14:paraId="221F4555" w14:textId="77777777" w:rsidR="00204104" w:rsidRPr="00864FA3" w:rsidRDefault="00204104" w:rsidP="00E313FC">
      <w:pPr>
        <w:pStyle w:val="ListParagraph"/>
        <w:numPr>
          <w:ilvl w:val="0"/>
          <w:numId w:val="18"/>
        </w:numPr>
        <w:jc w:val="both"/>
      </w:pPr>
      <w:r w:rsidRPr="00864FA3">
        <w:t>help the client make applications to the MHRT for a review of their status</w:t>
      </w:r>
      <w:r>
        <w:t>;</w:t>
      </w:r>
    </w:p>
    <w:p w14:paraId="24B397C3" w14:textId="77777777" w:rsidR="00204104" w:rsidRPr="00864FA3" w:rsidRDefault="00204104" w:rsidP="00E313FC">
      <w:pPr>
        <w:pStyle w:val="ListParagraph"/>
        <w:numPr>
          <w:ilvl w:val="0"/>
          <w:numId w:val="18"/>
        </w:numPr>
        <w:jc w:val="both"/>
      </w:pPr>
      <w:r w:rsidRPr="00864FA3">
        <w:t xml:space="preserve">attend MHRT hearings to help the client through the process and to understand the implications of any decisions made by the </w:t>
      </w:r>
      <w:r>
        <w:t>MHRT;</w:t>
      </w:r>
    </w:p>
    <w:p w14:paraId="18D1CB11" w14:textId="77777777" w:rsidR="00204104" w:rsidRPr="00864FA3" w:rsidRDefault="00204104" w:rsidP="00E313FC">
      <w:pPr>
        <w:pStyle w:val="ListParagraph"/>
        <w:numPr>
          <w:ilvl w:val="0"/>
          <w:numId w:val="18"/>
        </w:numPr>
        <w:jc w:val="both"/>
      </w:pPr>
      <w:r w:rsidRPr="00864FA3">
        <w:t>help the client express their views and wishes to the clinical team</w:t>
      </w:r>
      <w:r>
        <w:t>;</w:t>
      </w:r>
    </w:p>
    <w:p w14:paraId="4367F9A2" w14:textId="77777777" w:rsidR="00204104" w:rsidRPr="00864FA3" w:rsidRDefault="00204104" w:rsidP="00E313FC">
      <w:pPr>
        <w:pStyle w:val="ListParagraph"/>
        <w:numPr>
          <w:ilvl w:val="0"/>
          <w:numId w:val="18"/>
        </w:numPr>
        <w:jc w:val="both"/>
      </w:pPr>
      <w:r w:rsidRPr="00864FA3">
        <w:t>support the client in the development and review of their IDP</w:t>
      </w:r>
      <w:r>
        <w:t>; and</w:t>
      </w:r>
    </w:p>
    <w:p w14:paraId="06E08702" w14:textId="77777777" w:rsidR="00204104" w:rsidRDefault="00204104" w:rsidP="00E313FC">
      <w:pPr>
        <w:pStyle w:val="ListParagraph"/>
        <w:numPr>
          <w:ilvl w:val="0"/>
          <w:numId w:val="18"/>
        </w:numPr>
        <w:jc w:val="both"/>
      </w:pPr>
      <w:r w:rsidRPr="00864FA3">
        <w:t xml:space="preserve">attend the </w:t>
      </w:r>
      <w:r>
        <w:t>regular IDP review m</w:t>
      </w:r>
      <w:r w:rsidRPr="00864FA3">
        <w:t>eeting</w:t>
      </w:r>
      <w:r>
        <w:t>s</w:t>
      </w:r>
      <w:r w:rsidRPr="00864FA3">
        <w:t xml:space="preserve"> with the client.</w:t>
      </w:r>
    </w:p>
    <w:p w14:paraId="6EA81251" w14:textId="77777777" w:rsidR="00204104" w:rsidRPr="00204104" w:rsidRDefault="00204104" w:rsidP="00E313FC">
      <w:pPr>
        <w:pStyle w:val="Heading2"/>
      </w:pPr>
      <w:r w:rsidRPr="00204104">
        <w:t xml:space="preserve">Procedure </w:t>
      </w:r>
    </w:p>
    <w:p w14:paraId="40D3AF47" w14:textId="5FB573F1" w:rsidR="00204104" w:rsidRDefault="00204104" w:rsidP="00E313FC">
      <w:pPr>
        <w:pStyle w:val="Heading3"/>
        <w:numPr>
          <w:ilvl w:val="0"/>
          <w:numId w:val="19"/>
        </w:numPr>
      </w:pPr>
      <w:r>
        <w:t xml:space="preserve">Supporting the </w:t>
      </w:r>
      <w:r w:rsidR="00696E82">
        <w:t>forensic d</w:t>
      </w:r>
      <w:r>
        <w:t>isability client to choose an allied person</w:t>
      </w:r>
    </w:p>
    <w:p w14:paraId="13F80865" w14:textId="77777777" w:rsidR="00204104" w:rsidRDefault="00204104" w:rsidP="00E313FC">
      <w:pPr>
        <w:suppressAutoHyphens/>
        <w:jc w:val="both"/>
      </w:pPr>
      <w:r w:rsidRPr="00864FA3">
        <w:t>A forensic disability client can choose to have a person appointed as an allied person to help them represent their views, wishes and interests</w:t>
      </w:r>
      <w:r>
        <w:t xml:space="preserve">. </w:t>
      </w:r>
    </w:p>
    <w:p w14:paraId="587DB618" w14:textId="23855101" w:rsidR="00204104" w:rsidRPr="00864FA3" w:rsidRDefault="00204104" w:rsidP="00E313FC">
      <w:pPr>
        <w:suppressAutoHyphens/>
        <w:jc w:val="both"/>
        <w:rPr>
          <w:b/>
        </w:rPr>
      </w:pPr>
      <w:r>
        <w:t xml:space="preserve">The Director of Forensic Disability directs that a client is presumed, at first instance, to have capacity to choose their allied person. However, where there is evidence to indicate the client may not adequately understand the role and requirements of the allied person, consideration must be given as to </w:t>
      </w:r>
      <w:proofErr w:type="gramStart"/>
      <w:r>
        <w:t>whether or not</w:t>
      </w:r>
      <w:proofErr w:type="gramEnd"/>
      <w:r>
        <w:t xml:space="preserve"> the client has the capa</w:t>
      </w:r>
      <w:r w:rsidR="00E313FC">
        <w:t>city to make a valid choice (refer to</w:t>
      </w:r>
      <w:r>
        <w:t xml:space="preserve"> section 2 below for action to be taken when the client does not have capacity to choose).</w:t>
      </w:r>
    </w:p>
    <w:p w14:paraId="78AE865D" w14:textId="77777777" w:rsidR="00204104" w:rsidRDefault="00204104" w:rsidP="00E313FC">
      <w:pPr>
        <w:suppressAutoHyphens/>
        <w:jc w:val="both"/>
      </w:pPr>
      <w:r w:rsidRPr="00B20789">
        <w:t xml:space="preserve">A client </w:t>
      </w:r>
      <w:r>
        <w:t>may</w:t>
      </w:r>
      <w:r w:rsidRPr="00B20789">
        <w:t xml:space="preserve"> choose their own allied person from the following list of people</w:t>
      </w:r>
      <w:r>
        <w:t xml:space="preserve"> (section 25 of the Act)</w:t>
      </w:r>
      <w:r w:rsidRPr="00B20789">
        <w:t xml:space="preserve"> if the person chosen is willing, readily available, </w:t>
      </w:r>
      <w:proofErr w:type="gramStart"/>
      <w:r w:rsidRPr="00B20789">
        <w:t>capable</w:t>
      </w:r>
      <w:proofErr w:type="gramEnd"/>
      <w:r w:rsidRPr="00B20789">
        <w:t xml:space="preserve"> and culturally appropriate</w:t>
      </w:r>
      <w:r>
        <w:t>:</w:t>
      </w:r>
    </w:p>
    <w:p w14:paraId="05CFB714" w14:textId="77777777" w:rsidR="00204104" w:rsidRPr="00B20789" w:rsidRDefault="00204104" w:rsidP="00E313FC">
      <w:pPr>
        <w:pStyle w:val="ListParagraph"/>
        <w:numPr>
          <w:ilvl w:val="0"/>
          <w:numId w:val="20"/>
        </w:numPr>
        <w:jc w:val="both"/>
      </w:pPr>
      <w:r>
        <w:t xml:space="preserve">if the client has a personal guardian – the </w:t>
      </w:r>
      <w:r w:rsidRPr="00B20789">
        <w:t>personal guardian</w:t>
      </w:r>
      <w:r>
        <w:t>;</w:t>
      </w:r>
    </w:p>
    <w:p w14:paraId="0CAF3B28" w14:textId="77777777" w:rsidR="00204104" w:rsidRDefault="00204104" w:rsidP="00E313FC">
      <w:pPr>
        <w:pStyle w:val="ListParagraph"/>
        <w:numPr>
          <w:ilvl w:val="0"/>
          <w:numId w:val="20"/>
        </w:numPr>
        <w:jc w:val="both"/>
      </w:pPr>
      <w:r>
        <w:t xml:space="preserve">if the client has a personal attorney – the </w:t>
      </w:r>
      <w:r w:rsidRPr="00864FA3">
        <w:t>personal attorney</w:t>
      </w:r>
      <w:r>
        <w:t>;</w:t>
      </w:r>
    </w:p>
    <w:p w14:paraId="397D2C8C" w14:textId="77777777" w:rsidR="00204104" w:rsidRDefault="00204104" w:rsidP="00E313FC">
      <w:pPr>
        <w:pStyle w:val="ListParagraph"/>
        <w:numPr>
          <w:ilvl w:val="0"/>
          <w:numId w:val="20"/>
        </w:numPr>
        <w:jc w:val="both"/>
      </w:pPr>
      <w:r>
        <w:t>an a</w:t>
      </w:r>
      <w:r w:rsidRPr="00864FA3">
        <w:t>dult relative or adult close friend</w:t>
      </w:r>
      <w:r>
        <w:t xml:space="preserve"> of the client;</w:t>
      </w:r>
    </w:p>
    <w:p w14:paraId="1222C77C" w14:textId="77777777" w:rsidR="00204104" w:rsidRDefault="00204104" w:rsidP="00E313FC">
      <w:pPr>
        <w:pStyle w:val="ListParagraph"/>
        <w:numPr>
          <w:ilvl w:val="0"/>
          <w:numId w:val="20"/>
        </w:numPr>
        <w:jc w:val="both"/>
      </w:pPr>
      <w:r w:rsidRPr="00864FA3">
        <w:t>adult carer of the client</w:t>
      </w:r>
      <w:r>
        <w:t>; or</w:t>
      </w:r>
    </w:p>
    <w:p w14:paraId="5B4BA49B" w14:textId="77777777" w:rsidR="00204104" w:rsidRDefault="00204104" w:rsidP="00E313FC">
      <w:pPr>
        <w:pStyle w:val="ListParagraph"/>
        <w:numPr>
          <w:ilvl w:val="0"/>
          <w:numId w:val="20"/>
        </w:numPr>
        <w:jc w:val="both"/>
      </w:pPr>
      <w:r w:rsidRPr="00864FA3">
        <w:t>another adult</w:t>
      </w:r>
      <w:r>
        <w:t>.</w:t>
      </w:r>
    </w:p>
    <w:p w14:paraId="1AE68593" w14:textId="77777777" w:rsidR="00CC17B8" w:rsidRDefault="00CC17B8" w:rsidP="00E313FC">
      <w:pPr>
        <w:pStyle w:val="ListParagraph"/>
        <w:ind w:left="646"/>
        <w:jc w:val="both"/>
      </w:pPr>
    </w:p>
    <w:p w14:paraId="35C59E28" w14:textId="77777777" w:rsidR="00204104" w:rsidRDefault="00204104" w:rsidP="00E313FC">
      <w:pPr>
        <w:jc w:val="both"/>
      </w:pPr>
      <w:r w:rsidRPr="00864FA3">
        <w:t>A</w:t>
      </w:r>
      <w:r>
        <w:t xml:space="preserve"> forensic disability service </w:t>
      </w:r>
      <w:r w:rsidRPr="00864FA3">
        <w:t>employee o</w:t>
      </w:r>
      <w:r>
        <w:t xml:space="preserve">r former forensic disability employee </w:t>
      </w:r>
      <w:r w:rsidRPr="003B7B7C">
        <w:t>should not</w:t>
      </w:r>
      <w:r w:rsidRPr="003B7B7C">
        <w:rPr>
          <w:b/>
        </w:rPr>
        <w:t xml:space="preserve"> </w:t>
      </w:r>
      <w:r w:rsidRPr="003B7B7C">
        <w:t>be chosen or appointed as a client’s allied person.</w:t>
      </w:r>
    </w:p>
    <w:p w14:paraId="3C655919" w14:textId="77777777" w:rsidR="00204104" w:rsidRPr="00182901" w:rsidRDefault="00204104" w:rsidP="00E313FC">
      <w:pPr>
        <w:suppressAutoHyphens/>
        <w:jc w:val="both"/>
        <w:rPr>
          <w:szCs w:val="22"/>
        </w:rPr>
      </w:pPr>
      <w:r w:rsidRPr="00182901">
        <w:rPr>
          <w:szCs w:val="22"/>
        </w:rPr>
        <w:t xml:space="preserve">The </w:t>
      </w:r>
      <w:r>
        <w:rPr>
          <w:szCs w:val="22"/>
        </w:rPr>
        <w:t>Administrator</w:t>
      </w:r>
      <w:r w:rsidRPr="00182901">
        <w:rPr>
          <w:szCs w:val="22"/>
        </w:rPr>
        <w:t xml:space="preserve"> is to write to the new allied person to inform them they have been nominated as allied person for the client.</w:t>
      </w:r>
      <w:r w:rsidRPr="00182901">
        <w:t xml:space="preserve"> </w:t>
      </w:r>
      <w:r w:rsidRPr="00182901">
        <w:rPr>
          <w:szCs w:val="22"/>
        </w:rPr>
        <w:t xml:space="preserve">Where the person accepts the role, the clinical team should inform the client that the person has accepted the nomination to be their allied person. The </w:t>
      </w:r>
      <w:r>
        <w:rPr>
          <w:szCs w:val="22"/>
        </w:rPr>
        <w:t>Administrator</w:t>
      </w:r>
      <w:r w:rsidRPr="00182901">
        <w:rPr>
          <w:szCs w:val="22"/>
        </w:rPr>
        <w:t xml:space="preserve"> should obtain verbal or written confirmation that the person has accepted the nomination and record this confirmation on the client file.</w:t>
      </w:r>
    </w:p>
    <w:p w14:paraId="0C76C3C1" w14:textId="77777777" w:rsidR="00204104" w:rsidRPr="00864FA3" w:rsidRDefault="00204104" w:rsidP="00E313FC">
      <w:pPr>
        <w:suppressAutoHyphens/>
        <w:jc w:val="both"/>
      </w:pPr>
      <w:r>
        <w:t>The Administrator is to work collaboratively with the client to ensure the client has an allied person of their choice. The Administrator must a</w:t>
      </w:r>
      <w:r w:rsidRPr="00864FA3">
        <w:t>ttempt</w:t>
      </w:r>
      <w:r>
        <w:t>,</w:t>
      </w:r>
      <w:r w:rsidRPr="00864FA3">
        <w:t xml:space="preserve"> wherever possible</w:t>
      </w:r>
      <w:r>
        <w:t>,</w:t>
      </w:r>
      <w:r w:rsidRPr="00864FA3">
        <w:t xml:space="preserve"> to support the client’s choice of </w:t>
      </w:r>
      <w:r>
        <w:t>a</w:t>
      </w:r>
      <w:r w:rsidRPr="00864FA3">
        <w:t xml:space="preserve">llied </w:t>
      </w:r>
      <w:r>
        <w:t>p</w:t>
      </w:r>
      <w:r w:rsidRPr="00864FA3">
        <w:t xml:space="preserve">erson and work with the client to manage any </w:t>
      </w:r>
      <w:r>
        <w:t>concerns</w:t>
      </w:r>
      <w:r w:rsidRPr="00864FA3">
        <w:t xml:space="preserve"> about </w:t>
      </w:r>
      <w:r>
        <w:t xml:space="preserve">the </w:t>
      </w:r>
      <w:r w:rsidRPr="00864FA3">
        <w:t xml:space="preserve">choice of </w:t>
      </w:r>
      <w:r>
        <w:t>a</w:t>
      </w:r>
      <w:r w:rsidRPr="00864FA3">
        <w:t xml:space="preserve">llied </w:t>
      </w:r>
      <w:r>
        <w:t>p</w:t>
      </w:r>
      <w:r w:rsidRPr="00864FA3">
        <w:t>erson</w:t>
      </w:r>
      <w:r>
        <w:t xml:space="preserve">. </w:t>
      </w:r>
    </w:p>
    <w:p w14:paraId="515FCFE2" w14:textId="77777777" w:rsidR="0004081B" w:rsidRDefault="0004081B">
      <w:pPr>
        <w:spacing w:after="0"/>
        <w:rPr>
          <w:rFonts w:cs="Arial"/>
          <w:b/>
          <w:szCs w:val="22"/>
        </w:rPr>
      </w:pPr>
      <w:r>
        <w:br w:type="page"/>
      </w:r>
    </w:p>
    <w:p w14:paraId="1BC48883" w14:textId="2FA112ED" w:rsidR="00204104" w:rsidRPr="001F2539" w:rsidRDefault="00204104" w:rsidP="00E313FC">
      <w:pPr>
        <w:pStyle w:val="Heading3"/>
        <w:numPr>
          <w:ilvl w:val="1"/>
          <w:numId w:val="19"/>
        </w:numPr>
      </w:pPr>
      <w:r w:rsidRPr="001F2539">
        <w:lastRenderedPageBreak/>
        <w:t>Client chooses not to have an allied person</w:t>
      </w:r>
    </w:p>
    <w:p w14:paraId="5DB5C9A7" w14:textId="77777777" w:rsidR="00204104" w:rsidRDefault="00204104" w:rsidP="00E313FC">
      <w:pPr>
        <w:suppressAutoHyphens/>
        <w:jc w:val="both"/>
      </w:pPr>
      <w:r>
        <w:t xml:space="preserve">Provided that a client has capacity to </w:t>
      </w:r>
      <w:proofErr w:type="gramStart"/>
      <w:r>
        <w:t>make a decision</w:t>
      </w:r>
      <w:proofErr w:type="gramEnd"/>
      <w:r>
        <w:t xml:space="preserve"> about choosing an allied person, a client may choose not to have an allied person. The Administrator must be satisfied the client had the capacity to make this decision and make a record of the client’s decision in the client file.  </w:t>
      </w:r>
    </w:p>
    <w:p w14:paraId="590009DA" w14:textId="0375E007" w:rsidR="00204104" w:rsidRPr="001F2539" w:rsidRDefault="00204104" w:rsidP="00E313FC">
      <w:pPr>
        <w:pStyle w:val="Heading3"/>
        <w:numPr>
          <w:ilvl w:val="1"/>
          <w:numId w:val="19"/>
        </w:numPr>
      </w:pPr>
      <w:r w:rsidRPr="001F2539">
        <w:t>The person declines the role of allied person</w:t>
      </w:r>
    </w:p>
    <w:p w14:paraId="7186D6FF" w14:textId="77777777" w:rsidR="00204104" w:rsidRDefault="00204104" w:rsidP="00E313FC">
      <w:pPr>
        <w:suppressAutoHyphens/>
        <w:jc w:val="both"/>
      </w:pPr>
      <w:r>
        <w:t>If the nominated person declines the nomination either verbally or in writing, a record should be made in the client’s file.</w:t>
      </w:r>
    </w:p>
    <w:p w14:paraId="6B1E6219" w14:textId="77777777" w:rsidR="00204104" w:rsidRDefault="00204104" w:rsidP="00E313FC">
      <w:pPr>
        <w:suppressAutoHyphens/>
        <w:jc w:val="both"/>
      </w:pPr>
      <w:r>
        <w:t xml:space="preserve">The clinical team should inform the client of the outcome and engage with the client about nominating another person to be their allied person. </w:t>
      </w:r>
    </w:p>
    <w:p w14:paraId="1140D3ED" w14:textId="7664D680" w:rsidR="00204104" w:rsidRPr="001F2539" w:rsidRDefault="00204104" w:rsidP="00E313FC">
      <w:pPr>
        <w:pStyle w:val="Heading3"/>
        <w:numPr>
          <w:ilvl w:val="1"/>
          <w:numId w:val="19"/>
        </w:numPr>
      </w:pPr>
      <w:r w:rsidRPr="001F2539">
        <w:t>The allied person decides not to continue their appointment</w:t>
      </w:r>
    </w:p>
    <w:p w14:paraId="7F0EE217" w14:textId="77777777" w:rsidR="00204104" w:rsidRDefault="00204104" w:rsidP="00E313FC">
      <w:pPr>
        <w:suppressAutoHyphens/>
        <w:jc w:val="both"/>
      </w:pPr>
      <w:r>
        <w:t>At any time the allied person may decide not to continue their appointment as allied person for the client. When made aware that the person no longer wishes to continue their appointment, the clinical team should engage the client about choosing another person to be their allied person as soon as practicable.</w:t>
      </w:r>
    </w:p>
    <w:p w14:paraId="406E463A" w14:textId="4EE2B3F1" w:rsidR="00204104" w:rsidRDefault="00204104" w:rsidP="00E313FC">
      <w:pPr>
        <w:suppressAutoHyphens/>
        <w:jc w:val="both"/>
      </w:pPr>
      <w:r>
        <w:t xml:space="preserve">The Administrator should be informed that the allied person appointment has ended and an entry should be made in the client’s file and </w:t>
      </w:r>
      <w:r w:rsidR="0004081B">
        <w:t>update the Allied Person on</w:t>
      </w:r>
      <w:r>
        <w:t xml:space="preserve"> the Forensic Disability Service Act Information System (FDAIS).</w:t>
      </w:r>
    </w:p>
    <w:p w14:paraId="60B5FDD0" w14:textId="31399E8A" w:rsidR="00204104" w:rsidRPr="001F2539" w:rsidRDefault="00204104" w:rsidP="00E313FC">
      <w:pPr>
        <w:pStyle w:val="Heading3"/>
        <w:numPr>
          <w:ilvl w:val="1"/>
          <w:numId w:val="19"/>
        </w:numPr>
      </w:pPr>
      <w:r>
        <w:t>Change of allied person</w:t>
      </w:r>
    </w:p>
    <w:p w14:paraId="40D6F9CA" w14:textId="77777777" w:rsidR="00204104" w:rsidRDefault="00204104" w:rsidP="00E313FC">
      <w:pPr>
        <w:suppressAutoHyphens/>
        <w:jc w:val="both"/>
      </w:pPr>
      <w:r>
        <w:t>Where there is a change of allied person, the Administrator is to write to the former allied person advising them that their appointment as allied person for the client has ceased.</w:t>
      </w:r>
    </w:p>
    <w:p w14:paraId="483FA620" w14:textId="77777777" w:rsidR="00204104" w:rsidRDefault="00204104" w:rsidP="00E313FC">
      <w:pPr>
        <w:suppressAutoHyphens/>
        <w:jc w:val="both"/>
      </w:pPr>
      <w:r>
        <w:t>The Administrator is to write to the new allied person to inform them they have been nominated as allied person for the client.</w:t>
      </w:r>
    </w:p>
    <w:p w14:paraId="219841E1" w14:textId="22A6E7E9" w:rsidR="00204104" w:rsidRDefault="00204104" w:rsidP="00E313FC">
      <w:pPr>
        <w:suppressAutoHyphens/>
        <w:jc w:val="both"/>
      </w:pPr>
      <w:r>
        <w:t>The Administrator must ensure the details of the client’s allied person are up to date on FDAIS.</w:t>
      </w:r>
    </w:p>
    <w:p w14:paraId="265917C9" w14:textId="256D64DC" w:rsidR="00204104" w:rsidRPr="00AD5283" w:rsidRDefault="00204104" w:rsidP="00E313FC">
      <w:pPr>
        <w:pStyle w:val="Heading2"/>
        <w:numPr>
          <w:ilvl w:val="0"/>
          <w:numId w:val="19"/>
        </w:numPr>
        <w:rPr>
          <w:sz w:val="22"/>
          <w:szCs w:val="22"/>
        </w:rPr>
      </w:pPr>
      <w:r w:rsidRPr="00AD5283">
        <w:rPr>
          <w:sz w:val="22"/>
          <w:szCs w:val="22"/>
        </w:rPr>
        <w:t>Appointment of allied person by the Administrator if the client does not have capacity to choose</w:t>
      </w:r>
    </w:p>
    <w:p w14:paraId="42F2312B" w14:textId="77777777" w:rsidR="00204104" w:rsidRDefault="00204104" w:rsidP="00E313FC">
      <w:pPr>
        <w:suppressAutoHyphens/>
        <w:jc w:val="both"/>
      </w:pPr>
      <w:r>
        <w:t>If the Administrator believes the forensic disability client does not have capacity to choose their allied person, the following process applies:</w:t>
      </w:r>
    </w:p>
    <w:p w14:paraId="39CC4D3B" w14:textId="77777777" w:rsidR="00204104" w:rsidRDefault="00204104" w:rsidP="00E313FC">
      <w:pPr>
        <w:pStyle w:val="ListParagraph"/>
        <w:numPr>
          <w:ilvl w:val="0"/>
          <w:numId w:val="22"/>
        </w:numPr>
        <w:jc w:val="both"/>
      </w:pPr>
      <w:r>
        <w:t>If the client has an advanced health directive that directs that a stated person be the allied person, the stated person is the client’s allied person.</w:t>
      </w:r>
    </w:p>
    <w:p w14:paraId="5482C576" w14:textId="77777777" w:rsidR="00204104" w:rsidRPr="00ED1C2C" w:rsidRDefault="00204104" w:rsidP="00E313FC">
      <w:pPr>
        <w:pStyle w:val="ListParagraph"/>
        <w:numPr>
          <w:ilvl w:val="0"/>
          <w:numId w:val="22"/>
        </w:numPr>
        <w:jc w:val="both"/>
      </w:pPr>
      <w:r w:rsidRPr="00ED1C2C">
        <w:t xml:space="preserve">If the client does not have an </w:t>
      </w:r>
      <w:r w:rsidRPr="00786EBA">
        <w:t>advance</w:t>
      </w:r>
      <w:r>
        <w:t xml:space="preserve"> </w:t>
      </w:r>
      <w:r w:rsidRPr="00ED1C2C">
        <w:t>health directive, the</w:t>
      </w:r>
      <w:r>
        <w:t xml:space="preserve"> Administrator</w:t>
      </w:r>
      <w:r w:rsidRPr="00ED1C2C">
        <w:t xml:space="preserve"> must choose the allied person for the client. </w:t>
      </w:r>
      <w:r w:rsidRPr="00D117A0">
        <w:t xml:space="preserve">The </w:t>
      </w:r>
      <w:r>
        <w:t>Administrator</w:t>
      </w:r>
      <w:r w:rsidRPr="00D117A0">
        <w:t xml:space="preserve"> must choose the first person in the list </w:t>
      </w:r>
      <w:r>
        <w:t xml:space="preserve">who </w:t>
      </w:r>
      <w:r w:rsidRPr="00ED1C2C">
        <w:t xml:space="preserve">is willing, readily available, </w:t>
      </w:r>
      <w:proofErr w:type="gramStart"/>
      <w:r w:rsidRPr="00ED1C2C">
        <w:t>capable</w:t>
      </w:r>
      <w:proofErr w:type="gramEnd"/>
      <w:r w:rsidRPr="00ED1C2C">
        <w:t xml:space="preserve"> and culturally appropriate</w:t>
      </w:r>
      <w:r>
        <w:t>:</w:t>
      </w:r>
      <w:r w:rsidRPr="00ED1C2C">
        <w:t xml:space="preserve"> </w:t>
      </w:r>
    </w:p>
    <w:p w14:paraId="60647137" w14:textId="77777777" w:rsidR="00204104" w:rsidRDefault="00204104" w:rsidP="00E313FC">
      <w:pPr>
        <w:pStyle w:val="ListParagraph"/>
        <w:numPr>
          <w:ilvl w:val="0"/>
          <w:numId w:val="23"/>
        </w:numPr>
        <w:jc w:val="both"/>
      </w:pPr>
      <w:r>
        <w:t xml:space="preserve">if the client has a personal guardian – the </w:t>
      </w:r>
      <w:r w:rsidRPr="00B20789">
        <w:t>personal guardian</w:t>
      </w:r>
      <w:r>
        <w:t>;</w:t>
      </w:r>
    </w:p>
    <w:p w14:paraId="0858330F" w14:textId="77777777" w:rsidR="00204104" w:rsidRDefault="00204104" w:rsidP="00E313FC">
      <w:pPr>
        <w:pStyle w:val="ListParagraph"/>
        <w:numPr>
          <w:ilvl w:val="0"/>
          <w:numId w:val="23"/>
        </w:numPr>
        <w:jc w:val="both"/>
      </w:pPr>
      <w:r w:rsidRPr="00A82DD9">
        <w:t>if the client has a personal attorney – the personal attorney</w:t>
      </w:r>
      <w:r>
        <w:t>;</w:t>
      </w:r>
    </w:p>
    <w:p w14:paraId="3AAB8564" w14:textId="77777777" w:rsidR="00204104" w:rsidRDefault="00204104" w:rsidP="00E313FC">
      <w:pPr>
        <w:pStyle w:val="ListParagraph"/>
        <w:numPr>
          <w:ilvl w:val="0"/>
          <w:numId w:val="23"/>
        </w:numPr>
        <w:jc w:val="both"/>
      </w:pPr>
      <w:r w:rsidRPr="00A82DD9">
        <w:t>an adult relative or adult close friend of the client</w:t>
      </w:r>
      <w:r>
        <w:t>;</w:t>
      </w:r>
    </w:p>
    <w:p w14:paraId="612916FB" w14:textId="77777777" w:rsidR="00204104" w:rsidRDefault="00204104" w:rsidP="00E313FC">
      <w:pPr>
        <w:pStyle w:val="ListParagraph"/>
        <w:numPr>
          <w:ilvl w:val="0"/>
          <w:numId w:val="23"/>
        </w:numPr>
        <w:jc w:val="both"/>
      </w:pPr>
      <w:r w:rsidRPr="00A82DD9">
        <w:t>adult carer of the client</w:t>
      </w:r>
      <w:r>
        <w:t>;</w:t>
      </w:r>
      <w:r w:rsidRPr="00A82DD9">
        <w:t xml:space="preserve"> </w:t>
      </w:r>
      <w:r>
        <w:t>or</w:t>
      </w:r>
    </w:p>
    <w:p w14:paraId="00638A3B" w14:textId="77777777" w:rsidR="00204104" w:rsidRDefault="00204104" w:rsidP="00E313FC">
      <w:pPr>
        <w:pStyle w:val="ListParagraph"/>
        <w:numPr>
          <w:ilvl w:val="0"/>
          <w:numId w:val="23"/>
        </w:numPr>
        <w:jc w:val="both"/>
      </w:pPr>
      <w:r w:rsidRPr="00A82DD9">
        <w:t>another adult</w:t>
      </w:r>
      <w:r>
        <w:t>.</w:t>
      </w:r>
    </w:p>
    <w:p w14:paraId="66A1EBA4" w14:textId="77777777" w:rsidR="00204104" w:rsidRDefault="00204104" w:rsidP="00E313FC">
      <w:pPr>
        <w:suppressAutoHyphens/>
        <w:jc w:val="both"/>
      </w:pPr>
      <w:r>
        <w:rPr>
          <w:szCs w:val="22"/>
        </w:rPr>
        <w:lastRenderedPageBreak/>
        <w:t xml:space="preserve">The Administrator </w:t>
      </w:r>
      <w:r w:rsidRPr="00786EBA">
        <w:rPr>
          <w:b/>
          <w:szCs w:val="22"/>
        </w:rPr>
        <w:t xml:space="preserve">must </w:t>
      </w:r>
      <w:r w:rsidRPr="003B7B7C">
        <w:rPr>
          <w:b/>
          <w:szCs w:val="22"/>
        </w:rPr>
        <w:t xml:space="preserve">not </w:t>
      </w:r>
      <w:r w:rsidRPr="003B7B7C">
        <w:rPr>
          <w:szCs w:val="22"/>
        </w:rPr>
        <w:t>choose</w:t>
      </w:r>
      <w:r>
        <w:rPr>
          <w:szCs w:val="22"/>
        </w:rPr>
        <w:t xml:space="preserve"> a person who is a forensic disability service employee</w:t>
      </w:r>
      <w:r w:rsidRPr="00251FE3">
        <w:rPr>
          <w:szCs w:val="22"/>
        </w:rPr>
        <w:t>,</w:t>
      </w:r>
    </w:p>
    <w:p w14:paraId="7F51B53F" w14:textId="06822EDE" w:rsidR="00204104" w:rsidRDefault="00AD5283" w:rsidP="00E313FC">
      <w:pPr>
        <w:pStyle w:val="ListParagraph"/>
        <w:numPr>
          <w:ilvl w:val="0"/>
          <w:numId w:val="22"/>
        </w:numPr>
        <w:jc w:val="both"/>
      </w:pPr>
      <w:r>
        <w:t>i</w:t>
      </w:r>
      <w:r w:rsidR="00204104" w:rsidRPr="00F03EBB">
        <w:t xml:space="preserve">f the </w:t>
      </w:r>
      <w:r w:rsidR="00204104">
        <w:t>Administrator</w:t>
      </w:r>
      <w:r w:rsidR="00204104" w:rsidRPr="00F03EBB">
        <w:t xml:space="preserve"> is unable to identify a person who is willing, capable, readily </w:t>
      </w:r>
      <w:proofErr w:type="gramStart"/>
      <w:r w:rsidR="00204104" w:rsidRPr="00F03EBB">
        <w:t>available</w:t>
      </w:r>
      <w:proofErr w:type="gramEnd"/>
      <w:r w:rsidR="00204104" w:rsidRPr="00F03EBB">
        <w:t xml:space="preserve"> and culturally appropriate </w:t>
      </w:r>
      <w:r w:rsidR="00204104" w:rsidRPr="004F69EF">
        <w:t>to be the allied person</w:t>
      </w:r>
      <w:r w:rsidR="00204104" w:rsidRPr="000F1B52">
        <w:t xml:space="preserve">, then the </w:t>
      </w:r>
      <w:r w:rsidR="00204104">
        <w:t>Administrator</w:t>
      </w:r>
      <w:r w:rsidR="00204104" w:rsidRPr="000F1B52">
        <w:t xml:space="preserve"> must choose the Public Guardian to be the</w:t>
      </w:r>
      <w:r w:rsidR="00204104" w:rsidRPr="00B740E5">
        <w:t xml:space="preserve"> allied person.</w:t>
      </w:r>
      <w:r w:rsidR="00204104" w:rsidRPr="00C5405B">
        <w:t xml:space="preserve"> </w:t>
      </w:r>
    </w:p>
    <w:p w14:paraId="198C47B6" w14:textId="57145B0E" w:rsidR="00204104" w:rsidRDefault="00AD5283" w:rsidP="00E313FC">
      <w:pPr>
        <w:pStyle w:val="ListParagraph"/>
        <w:numPr>
          <w:ilvl w:val="0"/>
          <w:numId w:val="22"/>
        </w:numPr>
        <w:jc w:val="both"/>
      </w:pPr>
      <w:r>
        <w:t>i</w:t>
      </w:r>
      <w:r w:rsidR="00204104">
        <w:t xml:space="preserve">f the Administrator has nominated an allied person for the client, the Administrator may revoke the appointment if no longer satisfied the person is willing, readily available, </w:t>
      </w:r>
      <w:proofErr w:type="gramStart"/>
      <w:r w:rsidR="00204104">
        <w:t>capable</w:t>
      </w:r>
      <w:proofErr w:type="gramEnd"/>
      <w:r w:rsidR="00204104">
        <w:t xml:space="preserve"> and culturally appropriate to be the client’s allied person. If this occurs, the Administrator must advise the allied person in writing of the cessation of their appointment.</w:t>
      </w:r>
    </w:p>
    <w:p w14:paraId="42F6128F" w14:textId="77777777" w:rsidR="00AD5283" w:rsidRDefault="00AD5283" w:rsidP="00E313FC">
      <w:pPr>
        <w:pStyle w:val="ListParagraph"/>
        <w:ind w:left="644"/>
        <w:jc w:val="both"/>
      </w:pPr>
    </w:p>
    <w:p w14:paraId="02B76FAB" w14:textId="77777777" w:rsidR="00204104" w:rsidRPr="00864FA3" w:rsidRDefault="00204104" w:rsidP="00E313FC">
      <w:pPr>
        <w:spacing w:after="160"/>
        <w:jc w:val="both"/>
      </w:pPr>
      <w:r>
        <w:t>The Administrator must advise the client as to who their allied person is and arrange an initial meeting between the client and allied person for the purpose of explaining the role to the client.</w:t>
      </w:r>
    </w:p>
    <w:p w14:paraId="52439B82" w14:textId="3CC00EBE" w:rsidR="00204104" w:rsidRDefault="00204104" w:rsidP="00E313FC">
      <w:pPr>
        <w:pStyle w:val="Heading2"/>
        <w:numPr>
          <w:ilvl w:val="0"/>
          <w:numId w:val="19"/>
        </w:numPr>
      </w:pPr>
      <w:r>
        <w:t>When an a</w:t>
      </w:r>
      <w:r w:rsidRPr="00864FA3">
        <w:t xml:space="preserve">llied </w:t>
      </w:r>
      <w:r>
        <w:t>p</w:t>
      </w:r>
      <w:r w:rsidRPr="00864FA3">
        <w:t>erson ceases</w:t>
      </w:r>
      <w:r>
        <w:t xml:space="preserve"> to be an allied person</w:t>
      </w:r>
    </w:p>
    <w:p w14:paraId="06B1A066" w14:textId="77777777" w:rsidR="00204104" w:rsidRPr="00864FA3" w:rsidRDefault="00204104" w:rsidP="00E313FC">
      <w:pPr>
        <w:jc w:val="both"/>
      </w:pPr>
      <w:r>
        <w:t>The allied person appointment ends when:</w:t>
      </w:r>
    </w:p>
    <w:p w14:paraId="63161EE0" w14:textId="77777777" w:rsidR="00204104" w:rsidRPr="00AD5283" w:rsidRDefault="00204104" w:rsidP="00E313FC">
      <w:pPr>
        <w:pStyle w:val="ListParagraph"/>
        <w:numPr>
          <w:ilvl w:val="0"/>
          <w:numId w:val="22"/>
        </w:numPr>
        <w:jc w:val="both"/>
        <w:rPr>
          <w:b/>
        </w:rPr>
      </w:pPr>
      <w:r w:rsidRPr="00864FA3">
        <w:t>the client chooses another person to be their allied person</w:t>
      </w:r>
      <w:r w:rsidRPr="00AD5283">
        <w:rPr>
          <w:b/>
        </w:rPr>
        <w:t>;</w:t>
      </w:r>
    </w:p>
    <w:p w14:paraId="62AB5A6E" w14:textId="77777777" w:rsidR="00204104" w:rsidRPr="00AD5283" w:rsidRDefault="00204104" w:rsidP="00E313FC">
      <w:pPr>
        <w:pStyle w:val="ListParagraph"/>
        <w:numPr>
          <w:ilvl w:val="0"/>
          <w:numId w:val="22"/>
        </w:numPr>
        <w:jc w:val="both"/>
        <w:rPr>
          <w:b/>
        </w:rPr>
      </w:pPr>
      <w:r w:rsidRPr="0097192B">
        <w:t xml:space="preserve">the client tells the </w:t>
      </w:r>
      <w:r>
        <w:t>Administrator</w:t>
      </w:r>
      <w:r w:rsidRPr="0097192B">
        <w:t xml:space="preserve"> they no longer wish to have an allied person and the </w:t>
      </w:r>
      <w:r>
        <w:t>Administrator</w:t>
      </w:r>
      <w:r w:rsidRPr="0097192B">
        <w:t xml:space="preserve"> is satisfied the client has the capacity to make that decision;</w:t>
      </w:r>
    </w:p>
    <w:p w14:paraId="62B90CBE" w14:textId="77777777" w:rsidR="00204104" w:rsidRPr="00AD5283" w:rsidRDefault="00204104" w:rsidP="00E313FC">
      <w:pPr>
        <w:pStyle w:val="ListParagraph"/>
        <w:numPr>
          <w:ilvl w:val="0"/>
          <w:numId w:val="22"/>
        </w:numPr>
        <w:jc w:val="both"/>
        <w:rPr>
          <w:b/>
        </w:rPr>
      </w:pPr>
      <w:r w:rsidRPr="0097192B">
        <w:t xml:space="preserve">the </w:t>
      </w:r>
      <w:r>
        <w:t>Administrator</w:t>
      </w:r>
      <w:r w:rsidRPr="0097192B">
        <w:t xml:space="preserve"> has chosen a person to be an allied person for a client but is no longer satisfied the allied person is willing, readily available, </w:t>
      </w:r>
      <w:proofErr w:type="gramStart"/>
      <w:r w:rsidRPr="0097192B">
        <w:t>capable</w:t>
      </w:r>
      <w:proofErr w:type="gramEnd"/>
      <w:r w:rsidRPr="0097192B">
        <w:t xml:space="preserve"> and culturally appropriate to be the allied person</w:t>
      </w:r>
      <w:r>
        <w:t>; or</w:t>
      </w:r>
    </w:p>
    <w:p w14:paraId="702ACC9B" w14:textId="77777777" w:rsidR="00204104" w:rsidRPr="00AD5283" w:rsidRDefault="00204104" w:rsidP="00E313FC">
      <w:pPr>
        <w:pStyle w:val="ListParagraph"/>
        <w:numPr>
          <w:ilvl w:val="0"/>
          <w:numId w:val="22"/>
        </w:numPr>
        <w:jc w:val="both"/>
        <w:rPr>
          <w:b/>
        </w:rPr>
      </w:pPr>
      <w:r>
        <w:t>the allied person informs the Administrator that they no longer wish to be the client’s allied person.</w:t>
      </w:r>
    </w:p>
    <w:p w14:paraId="7A95F9C9" w14:textId="77777777" w:rsidR="00AD5283" w:rsidRPr="00AD5283" w:rsidRDefault="00AD5283" w:rsidP="00E313FC">
      <w:pPr>
        <w:pStyle w:val="ListParagraph"/>
        <w:ind w:left="644"/>
        <w:jc w:val="both"/>
        <w:rPr>
          <w:b/>
        </w:rPr>
      </w:pPr>
    </w:p>
    <w:p w14:paraId="34F8529E" w14:textId="1CAC48E1" w:rsidR="00204104" w:rsidRDefault="00204104" w:rsidP="00E313FC">
      <w:pPr>
        <w:spacing w:after="160"/>
        <w:jc w:val="both"/>
      </w:pPr>
      <w:r>
        <w:t xml:space="preserve">The Administrator must ensure the details of the client’s allied person are up to date on FDAIS including any changes of allied person and the reasons for any changes. </w:t>
      </w:r>
    </w:p>
    <w:p w14:paraId="35863810" w14:textId="1D06A92C" w:rsidR="00204104" w:rsidRDefault="00204104" w:rsidP="00E313FC">
      <w:pPr>
        <w:pStyle w:val="Heading2"/>
        <w:numPr>
          <w:ilvl w:val="0"/>
          <w:numId w:val="19"/>
        </w:numPr>
      </w:pPr>
      <w:r>
        <w:t>Information to be given to the allied person</w:t>
      </w:r>
    </w:p>
    <w:p w14:paraId="79218E48" w14:textId="77777777" w:rsidR="00204104" w:rsidRDefault="00204104" w:rsidP="00E313FC">
      <w:pPr>
        <w:suppressAutoHyphens/>
        <w:jc w:val="both"/>
      </w:pPr>
      <w:r>
        <w:t>To enable the allied person to assist the client, the Administrator must ensure the allied person is:</w:t>
      </w:r>
    </w:p>
    <w:p w14:paraId="4E6235BD" w14:textId="77777777" w:rsidR="00204104" w:rsidRDefault="00204104" w:rsidP="00E313FC">
      <w:pPr>
        <w:pStyle w:val="ListParagraph"/>
        <w:numPr>
          <w:ilvl w:val="0"/>
          <w:numId w:val="27"/>
        </w:numPr>
        <w:jc w:val="both"/>
      </w:pPr>
      <w:r>
        <w:t>notified of the client’s admission to the FDS;</w:t>
      </w:r>
    </w:p>
    <w:p w14:paraId="28B46063" w14:textId="52448A17" w:rsidR="00204104" w:rsidRDefault="00204104" w:rsidP="00E313FC">
      <w:pPr>
        <w:pStyle w:val="ListParagraph"/>
        <w:numPr>
          <w:ilvl w:val="0"/>
          <w:numId w:val="27"/>
        </w:numPr>
        <w:jc w:val="both"/>
      </w:pPr>
      <w:r>
        <w:t>provided with a copy of the Statement of Rights;</w:t>
      </w:r>
      <w:r w:rsidR="00250900">
        <w:t xml:space="preserve"> </w:t>
      </w:r>
    </w:p>
    <w:p w14:paraId="2AE28FCE" w14:textId="77777777" w:rsidR="00204104" w:rsidRDefault="00204104" w:rsidP="00E313FC">
      <w:pPr>
        <w:pStyle w:val="ListParagraph"/>
        <w:numPr>
          <w:ilvl w:val="0"/>
          <w:numId w:val="27"/>
        </w:numPr>
        <w:jc w:val="both"/>
      </w:pPr>
      <w:r>
        <w:t>notified of the time and dates of MHRT hearings to enable their attendance to help the allied person represent the client’s views, wishes and interests;</w:t>
      </w:r>
    </w:p>
    <w:p w14:paraId="50B3A382" w14:textId="77777777" w:rsidR="00204104" w:rsidRDefault="00204104" w:rsidP="00E313FC">
      <w:pPr>
        <w:pStyle w:val="ListParagraph"/>
        <w:numPr>
          <w:ilvl w:val="0"/>
          <w:numId w:val="27"/>
        </w:numPr>
        <w:jc w:val="both"/>
      </w:pPr>
      <w:r>
        <w:t>given a copy of the MHRT’s decisions following a review of the client’s forensic order (disability);</w:t>
      </w:r>
    </w:p>
    <w:p w14:paraId="16948B9E" w14:textId="77777777" w:rsidR="00204104" w:rsidRDefault="00204104" w:rsidP="00E313FC">
      <w:pPr>
        <w:pStyle w:val="ListParagraph"/>
        <w:numPr>
          <w:ilvl w:val="0"/>
          <w:numId w:val="27"/>
        </w:numPr>
        <w:jc w:val="both"/>
      </w:pPr>
      <w:r>
        <w:t>provided with an explanation of the purpose and process of developing an IDP including, where required, the need for assessments to be undertaken;</w:t>
      </w:r>
    </w:p>
    <w:p w14:paraId="5BBCFA9F" w14:textId="77777777" w:rsidR="00204104" w:rsidRDefault="00204104" w:rsidP="00E313FC">
      <w:pPr>
        <w:pStyle w:val="ListParagraph"/>
        <w:numPr>
          <w:ilvl w:val="0"/>
          <w:numId w:val="27"/>
        </w:numPr>
        <w:jc w:val="both"/>
      </w:pPr>
      <w:r>
        <w:t>notified of the time and dates of planning meetings for the client, where the client is also present (e.g. IDP reviews, transition meeting, planning meetings), to help the client represent their views, wishes and interests; and</w:t>
      </w:r>
    </w:p>
    <w:p w14:paraId="7BE797E0" w14:textId="77777777" w:rsidR="00204104" w:rsidRDefault="00204104" w:rsidP="00E313FC">
      <w:pPr>
        <w:pStyle w:val="ListParagraph"/>
        <w:numPr>
          <w:ilvl w:val="0"/>
          <w:numId w:val="27"/>
        </w:numPr>
        <w:jc w:val="both"/>
      </w:pPr>
      <w:r>
        <w:t>provided with a copy of the client’s IDP.</w:t>
      </w:r>
    </w:p>
    <w:p w14:paraId="7EBA5EB6" w14:textId="77777777" w:rsidR="00204104" w:rsidRDefault="00204104" w:rsidP="00E313FC">
      <w:pPr>
        <w:suppressAutoHyphens/>
        <w:spacing w:after="60"/>
        <w:ind w:left="567"/>
        <w:jc w:val="both"/>
      </w:pPr>
    </w:p>
    <w:p w14:paraId="4F9044FE" w14:textId="77777777" w:rsidR="0004081B" w:rsidRDefault="0004081B">
      <w:pPr>
        <w:spacing w:after="0"/>
        <w:rPr>
          <w:rFonts w:eastAsia="MS Mincho" w:cs="Arial"/>
          <w:b/>
          <w:sz w:val="24"/>
          <w:lang w:val="en-US" w:eastAsia="en-US"/>
        </w:rPr>
      </w:pPr>
      <w:r>
        <w:br w:type="page"/>
      </w:r>
    </w:p>
    <w:p w14:paraId="4ED07383" w14:textId="1874AFFD" w:rsidR="00204104" w:rsidRDefault="00204104" w:rsidP="00E313FC">
      <w:pPr>
        <w:pStyle w:val="Heading2"/>
        <w:numPr>
          <w:ilvl w:val="0"/>
          <w:numId w:val="19"/>
        </w:numPr>
      </w:pPr>
      <w:r>
        <w:lastRenderedPageBreak/>
        <w:t>Client admission process and allied person’s involvement</w:t>
      </w:r>
    </w:p>
    <w:p w14:paraId="2DEC4B1F" w14:textId="6A45834A" w:rsidR="00204104" w:rsidRDefault="00204104" w:rsidP="00E313FC">
      <w:pPr>
        <w:suppressAutoHyphens/>
        <w:jc w:val="both"/>
      </w:pPr>
      <w:r>
        <w:t xml:space="preserve">The allied person is to be included in all aspects of the client’s admission process. This </w:t>
      </w:r>
      <w:r w:rsidR="008761DC">
        <w:t xml:space="preserve">should </w:t>
      </w:r>
      <w:r>
        <w:t xml:space="preserve">involve being included in the initial meeting with the client on the day of admission which </w:t>
      </w:r>
      <w:r w:rsidR="008761DC">
        <w:t xml:space="preserve">should </w:t>
      </w:r>
      <w:r>
        <w:t>focus on how the service operates and reviewing the key aspects of the A</w:t>
      </w:r>
      <w:r w:rsidR="00957F09">
        <w:t>dmission</w:t>
      </w:r>
      <w:r>
        <w:t xml:space="preserve"> Plan. </w:t>
      </w:r>
    </w:p>
    <w:p w14:paraId="7F59E68E" w14:textId="77777777" w:rsidR="00204104" w:rsidRPr="00D117A0" w:rsidRDefault="00204104" w:rsidP="00E313FC">
      <w:pPr>
        <w:suppressAutoHyphens/>
        <w:jc w:val="both"/>
      </w:pPr>
      <w:r>
        <w:t xml:space="preserve">Within the first 21 days, the allied person must be provided with the Statement of Rights and be engaged in the process of developing the client’s IDP. </w:t>
      </w:r>
    </w:p>
    <w:p w14:paraId="0292634F" w14:textId="303B16B2" w:rsidR="00204104" w:rsidRDefault="00204104" w:rsidP="00E313FC">
      <w:pPr>
        <w:pStyle w:val="Heading2"/>
        <w:numPr>
          <w:ilvl w:val="0"/>
          <w:numId w:val="19"/>
        </w:numPr>
      </w:pPr>
      <w:r>
        <w:t>Individual Development Plan review meetings and allied person’s involvement</w:t>
      </w:r>
    </w:p>
    <w:p w14:paraId="44F88DFD" w14:textId="756FCB46" w:rsidR="00204104" w:rsidRPr="00241036" w:rsidRDefault="00204104" w:rsidP="00E313FC">
      <w:pPr>
        <w:suppressAutoHyphens/>
        <w:jc w:val="both"/>
      </w:pPr>
      <w:r w:rsidRPr="00241036">
        <w:t xml:space="preserve">The Senior Practitioner must ensure the client’s allied person is invited to be involved in the client’s IDP review meetings. This need not be attendance in person but could involve a phone link or other method of involvement. It is important that the allied person </w:t>
      </w:r>
      <w:proofErr w:type="gramStart"/>
      <w:r w:rsidRPr="00241036">
        <w:t>has the opportunity to</w:t>
      </w:r>
      <w:proofErr w:type="gramEnd"/>
      <w:r w:rsidRPr="00241036">
        <w:t xml:space="preserve"> contact the client prior to meetings or hearings to understand their views, wishes, interests</w:t>
      </w:r>
      <w:r w:rsidR="0004081B">
        <w:t>,</w:t>
      </w:r>
      <w:r w:rsidRPr="00241036">
        <w:t xml:space="preserve"> and any other relevant areas that the client may need assistance in representing their views. </w:t>
      </w:r>
    </w:p>
    <w:p w14:paraId="5EEC0483" w14:textId="77777777" w:rsidR="00204104" w:rsidRDefault="00204104" w:rsidP="00E313FC">
      <w:pPr>
        <w:suppressAutoHyphens/>
        <w:jc w:val="both"/>
      </w:pPr>
      <w:r w:rsidRPr="00241036">
        <w:t xml:space="preserve">The Senior Practitioner must ensure the allied person is included in other relevant discussion and correspondence concerning the client’s assessment, detention, </w:t>
      </w:r>
      <w:proofErr w:type="gramStart"/>
      <w:r w:rsidRPr="00241036">
        <w:t>care</w:t>
      </w:r>
      <w:proofErr w:type="gramEnd"/>
      <w:r w:rsidRPr="00241036">
        <w:t xml:space="preserve"> and support, so that they can fulfil their duties as allied person for the client. The allied person must be provided with the opportunity to raise any issues or to provide feedback about the care and detention of the client.</w:t>
      </w:r>
      <w:r>
        <w:t xml:space="preserve"> </w:t>
      </w:r>
    </w:p>
    <w:p w14:paraId="0B2FB7F9" w14:textId="797277D8" w:rsidR="00204104" w:rsidRDefault="00204104" w:rsidP="00E313FC">
      <w:pPr>
        <w:pStyle w:val="Heading2"/>
        <w:numPr>
          <w:ilvl w:val="0"/>
          <w:numId w:val="19"/>
        </w:numPr>
      </w:pPr>
      <w:r>
        <w:t>Notice of client’s transfer from FDS</w:t>
      </w:r>
    </w:p>
    <w:p w14:paraId="732BD655" w14:textId="27E97D0C" w:rsidR="00204104" w:rsidRPr="00426733" w:rsidRDefault="00204104" w:rsidP="00E313FC">
      <w:pPr>
        <w:suppressAutoHyphens/>
        <w:jc w:val="both"/>
      </w:pPr>
      <w:r>
        <w:t xml:space="preserve">When responsibility for a client is transferred from the FDS to an </w:t>
      </w:r>
      <w:r w:rsidR="00F646DB">
        <w:t xml:space="preserve">authorised mental health service (AMHS) </w:t>
      </w:r>
      <w:r>
        <w:t>(or vice versa), the Administrator must give the allied person notice of the transfer of responsibility.</w:t>
      </w:r>
    </w:p>
    <w:p w14:paraId="36E6E8B9" w14:textId="6BF9595C" w:rsidR="00204104" w:rsidRDefault="00204104" w:rsidP="00E313FC">
      <w:pPr>
        <w:pStyle w:val="Heading2"/>
        <w:numPr>
          <w:ilvl w:val="0"/>
          <w:numId w:val="19"/>
        </w:numPr>
      </w:pPr>
      <w:r>
        <w:t>Recordkeeping</w:t>
      </w:r>
    </w:p>
    <w:p w14:paraId="537AD427" w14:textId="77777777" w:rsidR="00204104" w:rsidRDefault="00204104" w:rsidP="00E313FC">
      <w:pPr>
        <w:suppressAutoHyphens/>
        <w:jc w:val="both"/>
      </w:pPr>
      <w:r>
        <w:t>Where contact is made with the allied person, the staff member involved must document:</w:t>
      </w:r>
    </w:p>
    <w:p w14:paraId="1DA8575B" w14:textId="77777777" w:rsidR="00204104" w:rsidRDefault="00204104" w:rsidP="00E313FC">
      <w:pPr>
        <w:pStyle w:val="ListParagraph"/>
        <w:numPr>
          <w:ilvl w:val="0"/>
          <w:numId w:val="28"/>
        </w:numPr>
        <w:jc w:val="both"/>
      </w:pPr>
      <w:r>
        <w:t xml:space="preserve">the purpose of the contact; </w:t>
      </w:r>
    </w:p>
    <w:p w14:paraId="5E2C102E" w14:textId="77777777" w:rsidR="00204104" w:rsidRDefault="00204104" w:rsidP="00E313FC">
      <w:pPr>
        <w:pStyle w:val="ListParagraph"/>
        <w:numPr>
          <w:ilvl w:val="0"/>
          <w:numId w:val="28"/>
        </w:numPr>
        <w:jc w:val="both"/>
      </w:pPr>
      <w:r>
        <w:t xml:space="preserve">any decisions or views expressed by the allied person; and </w:t>
      </w:r>
    </w:p>
    <w:p w14:paraId="5B75918C" w14:textId="77777777" w:rsidR="00204104" w:rsidRDefault="00204104" w:rsidP="00E313FC">
      <w:pPr>
        <w:pStyle w:val="ListParagraph"/>
        <w:numPr>
          <w:ilvl w:val="0"/>
          <w:numId w:val="28"/>
        </w:numPr>
        <w:jc w:val="both"/>
      </w:pPr>
      <w:r>
        <w:t xml:space="preserve">any agreed actions. </w:t>
      </w:r>
    </w:p>
    <w:p w14:paraId="3583B0DD" w14:textId="77777777" w:rsidR="00AD5283" w:rsidRDefault="00AD5283" w:rsidP="00E313FC">
      <w:pPr>
        <w:pStyle w:val="ListParagraph"/>
        <w:ind w:left="644"/>
        <w:jc w:val="both"/>
      </w:pPr>
    </w:p>
    <w:p w14:paraId="46931E35" w14:textId="1A2A4CBA" w:rsidR="00204104" w:rsidRDefault="00204104" w:rsidP="00E313FC">
      <w:pPr>
        <w:suppressAutoHyphens/>
        <w:jc w:val="both"/>
      </w:pPr>
      <w:r>
        <w:t xml:space="preserve">This information must be </w:t>
      </w:r>
      <w:r w:rsidR="00F646DB">
        <w:t>recorded in the</w:t>
      </w:r>
      <w:r>
        <w:t xml:space="preserve"> client file.</w:t>
      </w:r>
      <w:r w:rsidR="0004081B">
        <w:t xml:space="preserve"> Details for the allied person should be maintained on FDAIS. </w:t>
      </w:r>
    </w:p>
    <w:p w14:paraId="70EA1191" w14:textId="77777777" w:rsidR="00204104" w:rsidRDefault="00204104" w:rsidP="00E313FC">
      <w:pPr>
        <w:suppressAutoHyphens/>
        <w:jc w:val="both"/>
        <w:rPr>
          <w:rFonts w:cs="Arial"/>
          <w:szCs w:val="22"/>
        </w:rPr>
      </w:pPr>
      <w:proofErr w:type="gramStart"/>
      <w:r w:rsidRPr="003B7B7C">
        <w:rPr>
          <w:rFonts w:cs="Arial"/>
          <w:szCs w:val="22"/>
        </w:rPr>
        <w:t>In the event that</w:t>
      </w:r>
      <w:proofErr w:type="gramEnd"/>
      <w:r w:rsidRPr="00095D0E">
        <w:rPr>
          <w:rFonts w:cs="Arial"/>
          <w:szCs w:val="22"/>
        </w:rPr>
        <w:t xml:space="preserve"> an FDS </w:t>
      </w:r>
      <w:r w:rsidRPr="003B7B7C">
        <w:rPr>
          <w:rFonts w:cs="Arial"/>
          <w:szCs w:val="22"/>
        </w:rPr>
        <w:t>staff</w:t>
      </w:r>
      <w:r>
        <w:rPr>
          <w:rFonts w:cs="Arial"/>
          <w:szCs w:val="22"/>
        </w:rPr>
        <w:t xml:space="preserve"> member</w:t>
      </w:r>
      <w:r w:rsidRPr="003B7B7C">
        <w:rPr>
          <w:rFonts w:cs="Arial"/>
          <w:szCs w:val="22"/>
        </w:rPr>
        <w:t xml:space="preserve"> is uncertain as to whether or not to document their conversation with </w:t>
      </w:r>
      <w:r>
        <w:rPr>
          <w:rFonts w:cs="Arial"/>
          <w:szCs w:val="22"/>
        </w:rPr>
        <w:t>the</w:t>
      </w:r>
      <w:r w:rsidRPr="003B7B7C">
        <w:rPr>
          <w:rFonts w:cs="Arial"/>
          <w:szCs w:val="22"/>
        </w:rPr>
        <w:t xml:space="preserve"> allied person, the staff member should consult the </w:t>
      </w:r>
      <w:r>
        <w:rPr>
          <w:rFonts w:cs="Arial"/>
          <w:szCs w:val="22"/>
        </w:rPr>
        <w:t>Administrator</w:t>
      </w:r>
      <w:r w:rsidRPr="003B7B7C">
        <w:rPr>
          <w:rFonts w:cs="Arial"/>
          <w:szCs w:val="22"/>
        </w:rPr>
        <w:t xml:space="preserve"> and act in accordance with the </w:t>
      </w:r>
      <w:r>
        <w:rPr>
          <w:rFonts w:cs="Arial"/>
          <w:szCs w:val="22"/>
        </w:rPr>
        <w:t>Administrator</w:t>
      </w:r>
      <w:r w:rsidRPr="003B7B7C">
        <w:rPr>
          <w:rFonts w:cs="Arial"/>
          <w:szCs w:val="22"/>
        </w:rPr>
        <w:t xml:space="preserve">’s advice. </w:t>
      </w:r>
    </w:p>
    <w:p w14:paraId="7945C1A3" w14:textId="77777777" w:rsidR="0004081B" w:rsidRDefault="0004081B">
      <w:pPr>
        <w:spacing w:after="0"/>
        <w:rPr>
          <w:rFonts w:eastAsia="MS Mincho" w:cs="Arial"/>
          <w:b/>
          <w:sz w:val="24"/>
          <w:lang w:val="en-US" w:eastAsia="en-US"/>
        </w:rPr>
      </w:pPr>
      <w:r>
        <w:br w:type="page"/>
      </w:r>
    </w:p>
    <w:p w14:paraId="449F8A58" w14:textId="63CE37F6" w:rsidR="00204104" w:rsidRPr="004F69EF" w:rsidRDefault="00204104" w:rsidP="00E313FC">
      <w:pPr>
        <w:pStyle w:val="Heading2"/>
        <w:numPr>
          <w:ilvl w:val="0"/>
          <w:numId w:val="19"/>
        </w:numPr>
      </w:pPr>
      <w:r w:rsidRPr="004F69EF">
        <w:lastRenderedPageBreak/>
        <w:t>Confidentiality of information – allied persons</w:t>
      </w:r>
    </w:p>
    <w:p w14:paraId="378B26A3" w14:textId="77777777" w:rsidR="00204104" w:rsidRPr="004F69EF" w:rsidRDefault="00204104" w:rsidP="00E313FC">
      <w:pPr>
        <w:autoSpaceDE w:val="0"/>
        <w:autoSpaceDN w:val="0"/>
        <w:adjustRightInd w:val="0"/>
        <w:spacing w:after="160"/>
        <w:jc w:val="both"/>
      </w:pPr>
      <w:r w:rsidRPr="004F69EF">
        <w:t>Under section 121 of the Act</w:t>
      </w:r>
      <w:r>
        <w:t xml:space="preserve">, </w:t>
      </w:r>
      <w:r w:rsidRPr="004F69EF">
        <w:t>an allied person who is</w:t>
      </w:r>
      <w:r>
        <w:t>,</w:t>
      </w:r>
      <w:r w:rsidRPr="004F69EF">
        <w:t xml:space="preserve"> or has been</w:t>
      </w:r>
      <w:r>
        <w:t>,</w:t>
      </w:r>
      <w:r w:rsidRPr="004F69EF">
        <w:t xml:space="preserve"> in receipt of information about a forensic disability client must not disclose or give access to any documentation to anyone else, unless:</w:t>
      </w:r>
    </w:p>
    <w:p w14:paraId="70561ECB" w14:textId="77777777" w:rsidR="00204104" w:rsidRPr="004F69EF" w:rsidRDefault="00204104" w:rsidP="00E313FC">
      <w:pPr>
        <w:pStyle w:val="ListParagraph"/>
        <w:numPr>
          <w:ilvl w:val="0"/>
          <w:numId w:val="29"/>
        </w:numPr>
        <w:jc w:val="both"/>
      </w:pPr>
      <w:r w:rsidRPr="004F69EF">
        <w:t>it is required or permitted by law; or</w:t>
      </w:r>
    </w:p>
    <w:p w14:paraId="32E83AF2" w14:textId="77777777" w:rsidR="00204104" w:rsidRPr="004F69EF" w:rsidRDefault="00204104" w:rsidP="00E313FC">
      <w:pPr>
        <w:pStyle w:val="ListParagraph"/>
        <w:numPr>
          <w:ilvl w:val="0"/>
          <w:numId w:val="29"/>
        </w:numPr>
        <w:jc w:val="both"/>
      </w:pPr>
      <w:r w:rsidRPr="004F69EF">
        <w:t>the forensic disability client to whom the information relates agrees to the disclosure or giving of access.</w:t>
      </w:r>
    </w:p>
    <w:p w14:paraId="5762AA08" w14:textId="7D2FC8C8" w:rsidR="00861193" w:rsidRPr="00B966AD" w:rsidRDefault="00861193" w:rsidP="00861193">
      <w:pPr>
        <w:tabs>
          <w:tab w:val="left" w:pos="2552"/>
        </w:tabs>
        <w:spacing w:before="360"/>
      </w:pPr>
      <w:r w:rsidRPr="00B966AD">
        <w:rPr>
          <w:b/>
        </w:rPr>
        <w:t>Date of approval:</w:t>
      </w:r>
      <w:r w:rsidR="00204104">
        <w:tab/>
      </w:r>
      <w:r w:rsidR="007C4318">
        <w:t>09</w:t>
      </w:r>
      <w:r w:rsidR="002A34D1" w:rsidRPr="00B966AD">
        <w:t xml:space="preserve"> </w:t>
      </w:r>
      <w:r w:rsidR="007C4318">
        <w:t>January</w:t>
      </w:r>
      <w:r w:rsidR="00A05D1D" w:rsidRPr="00B966AD">
        <w:t xml:space="preserve"> 202</w:t>
      </w:r>
      <w:r w:rsidR="007C4318">
        <w:t>3</w:t>
      </w:r>
    </w:p>
    <w:p w14:paraId="7F21D20A" w14:textId="3CE79E92" w:rsidR="00861193" w:rsidRPr="00B966AD" w:rsidRDefault="00861193" w:rsidP="00861193">
      <w:pPr>
        <w:tabs>
          <w:tab w:val="left" w:pos="2552"/>
        </w:tabs>
      </w:pPr>
      <w:r w:rsidRPr="00B966AD">
        <w:rPr>
          <w:b/>
        </w:rPr>
        <w:t>Date of operation:</w:t>
      </w:r>
      <w:r w:rsidR="00204104">
        <w:tab/>
      </w:r>
      <w:r w:rsidR="00A05D1D">
        <w:t>0</w:t>
      </w:r>
      <w:r w:rsidR="007C4318">
        <w:t>1</w:t>
      </w:r>
      <w:r w:rsidR="00A05D1D" w:rsidRPr="00B966AD">
        <w:t xml:space="preserve"> </w:t>
      </w:r>
      <w:r w:rsidR="007C4318">
        <w:t>February</w:t>
      </w:r>
      <w:r w:rsidR="00A05D1D" w:rsidRPr="00B966AD">
        <w:t xml:space="preserve"> 202</w:t>
      </w:r>
      <w:r w:rsidR="00A05D1D">
        <w:t>3</w:t>
      </w:r>
    </w:p>
    <w:p w14:paraId="4F83C15E" w14:textId="3947B028" w:rsidR="00861193" w:rsidRPr="00B966AD" w:rsidRDefault="00861193" w:rsidP="00861193">
      <w:pPr>
        <w:pBdr>
          <w:bottom w:val="single" w:sz="6" w:space="1" w:color="auto"/>
        </w:pBdr>
        <w:tabs>
          <w:tab w:val="left" w:pos="2552"/>
        </w:tabs>
      </w:pPr>
      <w:r w:rsidRPr="00B966AD">
        <w:rPr>
          <w:b/>
        </w:rPr>
        <w:t>Date to be reviewed:</w:t>
      </w:r>
      <w:r w:rsidRPr="00B966AD">
        <w:tab/>
      </w:r>
      <w:r w:rsidR="007C4318">
        <w:t>01</w:t>
      </w:r>
      <w:r w:rsidR="0079138D" w:rsidRPr="00B966AD">
        <w:t xml:space="preserve"> </w:t>
      </w:r>
      <w:r w:rsidR="007C4318">
        <w:t>February</w:t>
      </w:r>
      <w:r w:rsidRPr="00B966AD">
        <w:t xml:space="preserve"> 202</w:t>
      </w:r>
      <w:r w:rsidR="002A34D1">
        <w:t>6</w:t>
      </w:r>
    </w:p>
    <w:p w14:paraId="0C9E172E" w14:textId="55CDF808" w:rsidR="00861193" w:rsidRPr="00B966AD" w:rsidRDefault="002A34D1" w:rsidP="00861193">
      <w:pPr>
        <w:tabs>
          <w:tab w:val="left" w:pos="2552"/>
        </w:tabs>
      </w:pPr>
      <w:r>
        <w:rPr>
          <w:b/>
        </w:rPr>
        <w:t>Designation</w:t>
      </w:r>
      <w:r w:rsidR="00861193" w:rsidRPr="00B966AD">
        <w:rPr>
          <w:b/>
        </w:rPr>
        <w:t>:</w:t>
      </w:r>
      <w:r w:rsidR="00861193" w:rsidRPr="00B966AD">
        <w:tab/>
        <w:t>Director of Forensic Disability</w:t>
      </w:r>
    </w:p>
    <w:p w14:paraId="27EC05FF" w14:textId="7B4EAB64" w:rsidR="00861193" w:rsidRPr="00B966AD" w:rsidRDefault="00861193" w:rsidP="00861193">
      <w:pPr>
        <w:pBdr>
          <w:bottom w:val="single" w:sz="6" w:space="1" w:color="auto"/>
        </w:pBdr>
        <w:tabs>
          <w:tab w:val="left" w:pos="2552"/>
        </w:tabs>
      </w:pPr>
      <w:r w:rsidRPr="00B966AD">
        <w:rPr>
          <w:b/>
        </w:rPr>
        <w:t>Help Contact:</w:t>
      </w:r>
      <w:r w:rsidRPr="00B966AD">
        <w:tab/>
      </w:r>
      <w:hyperlink r:id="rId8" w:history="1">
        <w:r w:rsidR="002A34D1">
          <w:rPr>
            <w:color w:val="0000FF" w:themeColor="hyperlink"/>
            <w:u w:val="single"/>
          </w:rPr>
          <w:t>directorforensicdisability@dsdsatsip.qld.gov.au</w:t>
        </w:r>
      </w:hyperlink>
    </w:p>
    <w:p w14:paraId="24AEC9A7" w14:textId="77777777" w:rsidR="00861193" w:rsidRPr="00B966AD" w:rsidRDefault="00861193" w:rsidP="00861193">
      <w:r w:rsidRPr="00B966AD">
        <w:rPr>
          <w:bCs/>
          <w:sz w:val="24"/>
        </w:rPr>
        <w:t>Jenny Lynas</w:t>
      </w:r>
      <w:r w:rsidRPr="00B966AD">
        <w:rPr>
          <w:bCs/>
          <w:sz w:val="24"/>
        </w:rPr>
        <w:br/>
        <w:t>Director of Forensic Disability</w:t>
      </w:r>
    </w:p>
    <w:p w14:paraId="3140DA10" w14:textId="77777777" w:rsidR="00A72C57" w:rsidRPr="00A72C57" w:rsidRDefault="00A72C57" w:rsidP="00A72C57">
      <w:pPr>
        <w:rPr>
          <w:lang w:val="en-US"/>
        </w:rPr>
      </w:pPr>
    </w:p>
    <w:sectPr w:rsidR="00A72C57" w:rsidRPr="00A72C57" w:rsidSect="00861193">
      <w:headerReference w:type="default" r:id="rId9"/>
      <w:footerReference w:type="default" r:id="rId10"/>
      <w:headerReference w:type="first" r:id="rId11"/>
      <w:footerReference w:type="first" r:id="rId12"/>
      <w:type w:val="continuous"/>
      <w:pgSz w:w="11906" w:h="16838"/>
      <w:pgMar w:top="1985" w:right="1134" w:bottom="1134" w:left="1134" w:header="709" w:footer="1474" w:gutter="0"/>
      <w:pgNumType w:start="1"/>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4C728" w14:textId="77777777" w:rsidR="006266DE" w:rsidRDefault="006266DE">
      <w:r>
        <w:separator/>
      </w:r>
    </w:p>
  </w:endnote>
  <w:endnote w:type="continuationSeparator" w:id="0">
    <w:p w14:paraId="52D64087" w14:textId="77777777" w:rsidR="006266DE" w:rsidRDefault="00626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690300"/>
      <w:docPartObj>
        <w:docPartGallery w:val="Page Numbers (Bottom of Page)"/>
        <w:docPartUnique/>
      </w:docPartObj>
    </w:sdtPr>
    <w:sdtEndPr>
      <w:rPr>
        <w:noProof/>
      </w:rPr>
    </w:sdtEndPr>
    <w:sdtContent>
      <w:p w14:paraId="24815281" w14:textId="77777777" w:rsidR="000B06EF" w:rsidRDefault="000B06EF">
        <w:pPr>
          <w:pStyle w:val="Footer"/>
          <w:jc w:val="right"/>
        </w:pPr>
        <w:r>
          <w:fldChar w:fldCharType="begin"/>
        </w:r>
        <w:r>
          <w:instrText xml:space="preserve"> PAGE   \* MERGEFORMAT </w:instrText>
        </w:r>
        <w:r>
          <w:fldChar w:fldCharType="separate"/>
        </w:r>
        <w:r w:rsidR="00E313FC">
          <w:rPr>
            <w:noProof/>
          </w:rPr>
          <w:t>2</w:t>
        </w:r>
        <w:r>
          <w:rPr>
            <w:noProof/>
          </w:rPr>
          <w:fldChar w:fldCharType="end"/>
        </w:r>
      </w:p>
    </w:sdtContent>
  </w:sdt>
  <w:p w14:paraId="1046F1F6" w14:textId="77777777" w:rsidR="000B06EF" w:rsidRDefault="000B06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822539"/>
      <w:docPartObj>
        <w:docPartGallery w:val="Page Numbers (Bottom of Page)"/>
        <w:docPartUnique/>
      </w:docPartObj>
    </w:sdtPr>
    <w:sdtEndPr>
      <w:rPr>
        <w:noProof/>
      </w:rPr>
    </w:sdtEndPr>
    <w:sdtContent>
      <w:p w14:paraId="744A0E70" w14:textId="77777777" w:rsidR="000B06EF" w:rsidRDefault="000B06EF">
        <w:pPr>
          <w:pStyle w:val="Footer"/>
          <w:jc w:val="right"/>
        </w:pPr>
        <w:r>
          <w:t>1</w:t>
        </w:r>
      </w:p>
    </w:sdtContent>
  </w:sdt>
  <w:p w14:paraId="5818DE10" w14:textId="77777777" w:rsidR="000B06EF" w:rsidRDefault="000B0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28048" w14:textId="77777777" w:rsidR="006266DE" w:rsidRDefault="006266DE">
      <w:r>
        <w:separator/>
      </w:r>
    </w:p>
  </w:footnote>
  <w:footnote w:type="continuationSeparator" w:id="0">
    <w:p w14:paraId="0978E9CA" w14:textId="77777777" w:rsidR="006266DE" w:rsidRDefault="00626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C01E" w14:textId="77777777" w:rsidR="000B06EF" w:rsidRDefault="000B06EF">
    <w:pPr>
      <w:pStyle w:val="Header"/>
    </w:pPr>
    <w:r>
      <w:rPr>
        <w:noProof/>
      </w:rPr>
      <w:drawing>
        <wp:anchor distT="0" distB="0" distL="114300" distR="114300" simplePos="0" relativeHeight="251662336" behindDoc="1" locked="0" layoutInCell="1" allowOverlap="1" wp14:anchorId="60FF5517" wp14:editId="3E7043D3">
          <wp:simplePos x="0" y="0"/>
          <wp:positionH relativeFrom="column">
            <wp:posOffset>-723900</wp:posOffset>
          </wp:positionH>
          <wp:positionV relativeFrom="paragraph">
            <wp:posOffset>-438785</wp:posOffset>
          </wp:positionV>
          <wp:extent cx="7562849" cy="10689675"/>
          <wp:effectExtent l="0" t="0" r="635" b="0"/>
          <wp:wrapNone/>
          <wp:docPr id="23" name="Picture 23" descr="Branding for the Director of Forensic Disability. Stylised icons of flowers in strip at the top of the page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unication Services:Specialist Services:Graphic Design:Graphic Design:Design reference:Templates:Templates - DEC 2017:INDD Files:DCDSS:JPGs:DCDSS Factsheet Port A4 DEC-17_Black-1.jpg"/>
                  <pic:cNvPicPr>
                    <a:picLocks noChangeAspect="1" noChangeArrowheads="1"/>
                  </pic:cNvPicPr>
                </pic:nvPicPr>
                <pic:blipFill>
                  <a:blip r:embed="rId1"/>
                  <a:stretch>
                    <a:fillRect/>
                  </a:stretch>
                </pic:blipFill>
                <pic:spPr bwMode="auto">
                  <a:xfrm>
                    <a:off x="0" y="0"/>
                    <a:ext cx="7562849" cy="1068967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57C0B" w14:textId="77777777" w:rsidR="000B06EF" w:rsidRDefault="000B06EF">
    <w:pPr>
      <w:pStyle w:val="Header"/>
    </w:pPr>
    <w:r>
      <w:rPr>
        <w:noProof/>
      </w:rPr>
      <w:drawing>
        <wp:anchor distT="0" distB="0" distL="114300" distR="114300" simplePos="0" relativeHeight="251661312" behindDoc="0" locked="0" layoutInCell="1" allowOverlap="1" wp14:anchorId="73E6C1C7" wp14:editId="76A4DE1C">
          <wp:simplePos x="0" y="0"/>
          <wp:positionH relativeFrom="page">
            <wp:posOffset>-15903</wp:posOffset>
          </wp:positionH>
          <wp:positionV relativeFrom="page">
            <wp:posOffset>0</wp:posOffset>
          </wp:positionV>
          <wp:extent cx="7563238" cy="8698727"/>
          <wp:effectExtent l="0" t="0" r="0" b="7620"/>
          <wp:wrapNone/>
          <wp:docPr id="24" name="Picture 24" descr="Branding for the Director of Forensic Disability. Stylised icons of flowers in strip at the top of the page in black and white. The Director of Forensic Disability name sits directly beneath the strip on the left hand s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Template portrait.jpg"/>
                  <pic:cNvPicPr/>
                </pic:nvPicPr>
                <pic:blipFill rotWithShape="1">
                  <a:blip r:embed="rId1"/>
                  <a:srcRect b="18629"/>
                  <a:stretch/>
                </pic:blipFill>
                <pic:spPr bwMode="auto">
                  <a:xfrm>
                    <a:off x="0" y="0"/>
                    <a:ext cx="7563599" cy="86991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7426"/>
    <w:multiLevelType w:val="multilevel"/>
    <w:tmpl w:val="8B5AA81E"/>
    <w:lvl w:ilvl="0">
      <w:start w:val="3"/>
      <w:numFmt w:val="decimal"/>
      <w:lvlText w:val="%1"/>
      <w:lvlJc w:val="left"/>
      <w:pPr>
        <w:ind w:left="360" w:hanging="360"/>
      </w:pPr>
      <w:rPr>
        <w:rFonts w:hint="default"/>
      </w:rPr>
    </w:lvl>
    <w:lvl w:ilvl="1">
      <w:start w:val="1"/>
      <w:numFmt w:val="decimal"/>
      <w:lvlText w:val="%1.%2"/>
      <w:lvlJc w:val="left"/>
      <w:pPr>
        <w:ind w:left="482" w:hanging="48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C43EE7"/>
    <w:multiLevelType w:val="hybridMultilevel"/>
    <w:tmpl w:val="E0F0E892"/>
    <w:lvl w:ilvl="0" w:tplc="286400E0">
      <w:start w:val="1"/>
      <w:numFmt w:val="bullet"/>
      <w:lvlText w:val=""/>
      <w:lvlJc w:val="left"/>
      <w:pPr>
        <w:ind w:left="1364" w:hanging="360"/>
      </w:pPr>
      <w:rPr>
        <w:rFonts w:ascii="Symbol" w:hAnsi="Symbol" w:hint="default"/>
        <w:color w:val="auto"/>
        <w:sz w:val="2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9F3562E"/>
    <w:multiLevelType w:val="hybridMultilevel"/>
    <w:tmpl w:val="B3C06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702ECC"/>
    <w:multiLevelType w:val="hybridMultilevel"/>
    <w:tmpl w:val="F724B274"/>
    <w:lvl w:ilvl="0" w:tplc="3A925568">
      <w:start w:val="1"/>
      <w:numFmt w:val="lowerLetter"/>
      <w:lvlText w:val="%1)"/>
      <w:lvlJc w:val="left"/>
      <w:pPr>
        <w:ind w:left="646" w:hanging="362"/>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12546123"/>
    <w:multiLevelType w:val="hybridMultilevel"/>
    <w:tmpl w:val="851E5438"/>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12D05C09"/>
    <w:multiLevelType w:val="multilevel"/>
    <w:tmpl w:val="589CC6D8"/>
    <w:lvl w:ilvl="0">
      <w:start w:val="4"/>
      <w:numFmt w:val="decimal"/>
      <w:lvlText w:val="%1"/>
      <w:lvlJc w:val="left"/>
      <w:pPr>
        <w:ind w:left="360" w:hanging="360"/>
      </w:pPr>
      <w:rPr>
        <w:rFonts w:hint="default"/>
      </w:rPr>
    </w:lvl>
    <w:lvl w:ilvl="1">
      <w:start w:val="1"/>
      <w:numFmt w:val="decimal"/>
      <w:lvlText w:val="%1.%2"/>
      <w:lvlJc w:val="left"/>
      <w:pPr>
        <w:ind w:left="482" w:hanging="48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FB5D2B"/>
    <w:multiLevelType w:val="hybridMultilevel"/>
    <w:tmpl w:val="FB7092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E412EA"/>
    <w:multiLevelType w:val="hybridMultilevel"/>
    <w:tmpl w:val="97E838CA"/>
    <w:lvl w:ilvl="0" w:tplc="0C090003">
      <w:start w:val="1"/>
      <w:numFmt w:val="bullet"/>
      <w:lvlText w:val="o"/>
      <w:lvlJc w:val="left"/>
      <w:pPr>
        <w:ind w:left="1440" w:hanging="360"/>
      </w:pPr>
      <w:rPr>
        <w:rFonts w:ascii="Courier New" w:hAnsi="Courier New" w:cs="Courier New" w:hint="default"/>
        <w:color w:val="auto"/>
        <w:sz w:val="2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32A4332"/>
    <w:multiLevelType w:val="hybridMultilevel"/>
    <w:tmpl w:val="28AA49FA"/>
    <w:lvl w:ilvl="0" w:tplc="0C090003">
      <w:start w:val="1"/>
      <w:numFmt w:val="bullet"/>
      <w:lvlText w:val="o"/>
      <w:lvlJc w:val="left"/>
      <w:pPr>
        <w:tabs>
          <w:tab w:val="num" w:pos="1080"/>
        </w:tabs>
        <w:ind w:left="1080" w:hanging="360"/>
      </w:pPr>
      <w:rPr>
        <w:rFonts w:ascii="Courier New" w:hAnsi="Courier New" w:cs="Courier New" w:hint="default"/>
        <w:color w:val="auto"/>
        <w:sz w:val="22"/>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3941F32"/>
    <w:multiLevelType w:val="hybridMultilevel"/>
    <w:tmpl w:val="6B5E970E"/>
    <w:lvl w:ilvl="0" w:tplc="7BD2AB20">
      <w:start w:val="1"/>
      <w:numFmt w:val="bullet"/>
      <w:lvlText w:val=""/>
      <w:lvlJc w:val="left"/>
      <w:pPr>
        <w:ind w:left="644" w:hanging="360"/>
      </w:pPr>
      <w:rPr>
        <w:rFonts w:ascii="Symbol" w:hAnsi="Symbol" w:hint="default"/>
        <w:color w:val="auto"/>
        <w:sz w:val="2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6C91C9A"/>
    <w:multiLevelType w:val="hybridMultilevel"/>
    <w:tmpl w:val="5A9099A4"/>
    <w:lvl w:ilvl="0" w:tplc="96C8135E">
      <w:start w:val="1"/>
      <w:numFmt w:val="lowerLetter"/>
      <w:lvlText w:val="%1)"/>
      <w:lvlJc w:val="left"/>
      <w:pPr>
        <w:ind w:left="646" w:hanging="362"/>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F020AD9"/>
    <w:multiLevelType w:val="hybridMultilevel"/>
    <w:tmpl w:val="B9A6ADAC"/>
    <w:lvl w:ilvl="0" w:tplc="286400E0">
      <w:start w:val="1"/>
      <w:numFmt w:val="bullet"/>
      <w:lvlText w:val=""/>
      <w:lvlJc w:val="left"/>
      <w:pPr>
        <w:ind w:left="1364" w:hanging="360"/>
      </w:pPr>
      <w:rPr>
        <w:rFonts w:ascii="Symbol" w:hAnsi="Symbol" w:hint="default"/>
        <w:color w:val="auto"/>
        <w:sz w:val="2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0624D50"/>
    <w:multiLevelType w:val="hybridMultilevel"/>
    <w:tmpl w:val="7B6A052A"/>
    <w:lvl w:ilvl="0" w:tplc="5DE81336">
      <w:start w:val="1"/>
      <w:numFmt w:val="bullet"/>
      <w:lvlText w:val=""/>
      <w:lvlJc w:val="left"/>
      <w:pPr>
        <w:ind w:left="644" w:hanging="360"/>
      </w:pPr>
      <w:rPr>
        <w:rFonts w:ascii="Symbol" w:hAnsi="Symbol" w:hint="default"/>
        <w:color w:val="auto"/>
        <w:sz w:val="2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3FF758E"/>
    <w:multiLevelType w:val="hybridMultilevel"/>
    <w:tmpl w:val="297A83E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378F32D5"/>
    <w:multiLevelType w:val="hybridMultilevel"/>
    <w:tmpl w:val="98E2A40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9F0395"/>
    <w:multiLevelType w:val="hybridMultilevel"/>
    <w:tmpl w:val="77543444"/>
    <w:lvl w:ilvl="0" w:tplc="B5109B4E">
      <w:start w:val="1"/>
      <w:numFmt w:val="bullet"/>
      <w:lvlText w:val=""/>
      <w:lvlJc w:val="left"/>
      <w:pPr>
        <w:ind w:left="646" w:hanging="362"/>
      </w:pPr>
      <w:rPr>
        <w:rFonts w:ascii="Symbol" w:hAnsi="Symbol" w:hint="default"/>
        <w:color w:val="auto"/>
        <w:sz w:val="2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D0B1CB4"/>
    <w:multiLevelType w:val="hybridMultilevel"/>
    <w:tmpl w:val="042A2E7E"/>
    <w:lvl w:ilvl="0" w:tplc="007A899A">
      <w:start w:val="1"/>
      <w:numFmt w:val="lowerLetter"/>
      <w:lvlText w:val="(%1)"/>
      <w:lvlJc w:val="left"/>
      <w:pPr>
        <w:ind w:left="785"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F20003A"/>
    <w:multiLevelType w:val="hybridMultilevel"/>
    <w:tmpl w:val="03B6B036"/>
    <w:lvl w:ilvl="0" w:tplc="286400E0">
      <w:start w:val="1"/>
      <w:numFmt w:val="bullet"/>
      <w:lvlText w:val=""/>
      <w:lvlJc w:val="left"/>
      <w:pPr>
        <w:ind w:left="644" w:hanging="360"/>
      </w:pPr>
      <w:rPr>
        <w:rFonts w:ascii="Symbol" w:hAnsi="Symbol" w:hint="default"/>
        <w:color w:val="auto"/>
        <w:sz w:val="2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42707B50"/>
    <w:multiLevelType w:val="hybridMultilevel"/>
    <w:tmpl w:val="950A4A8E"/>
    <w:lvl w:ilvl="0" w:tplc="6DACCF70">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442D2407"/>
    <w:multiLevelType w:val="hybridMultilevel"/>
    <w:tmpl w:val="66B21FD6"/>
    <w:lvl w:ilvl="0" w:tplc="FD3C7DE0">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49FE632C"/>
    <w:multiLevelType w:val="multilevel"/>
    <w:tmpl w:val="6FFA4BAC"/>
    <w:lvl w:ilvl="0">
      <w:start w:val="1"/>
      <w:numFmt w:val="decimal"/>
      <w:lvlText w:val="%1."/>
      <w:lvlJc w:val="left"/>
      <w:pPr>
        <w:ind w:left="482" w:hanging="482"/>
      </w:pPr>
      <w:rPr>
        <w:rFonts w:hint="default"/>
      </w:rPr>
    </w:lvl>
    <w:lvl w:ilvl="1">
      <w:start w:val="1"/>
      <w:numFmt w:val="decimal"/>
      <w:isLgl/>
      <w:lvlText w:val="%1.%2"/>
      <w:lvlJc w:val="left"/>
      <w:pPr>
        <w:ind w:left="482" w:hanging="482"/>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21" w15:restartNumberingAfterBreak="0">
    <w:nsid w:val="4EAB46DA"/>
    <w:multiLevelType w:val="hybridMultilevel"/>
    <w:tmpl w:val="03B46A24"/>
    <w:lvl w:ilvl="0" w:tplc="5BBE1392">
      <w:start w:val="1"/>
      <w:numFmt w:val="lowerLetter"/>
      <w:lvlText w:val="(%1)"/>
      <w:lvlJc w:val="left"/>
      <w:pPr>
        <w:ind w:left="785"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BA6341F"/>
    <w:multiLevelType w:val="multilevel"/>
    <w:tmpl w:val="A5E252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2AC3BFF"/>
    <w:multiLevelType w:val="hybridMultilevel"/>
    <w:tmpl w:val="48B26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9E377CF"/>
    <w:multiLevelType w:val="hybridMultilevel"/>
    <w:tmpl w:val="D0CCE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114906"/>
    <w:multiLevelType w:val="hybridMultilevel"/>
    <w:tmpl w:val="4F76CDF6"/>
    <w:lvl w:ilvl="0" w:tplc="61C8C230">
      <w:start w:val="1"/>
      <w:numFmt w:val="bullet"/>
      <w:lvlText w:val=""/>
      <w:lvlJc w:val="left"/>
      <w:pPr>
        <w:ind w:left="644" w:hanging="360"/>
      </w:pPr>
      <w:rPr>
        <w:rFonts w:ascii="Symbol" w:hAnsi="Symbol" w:hint="default"/>
        <w:color w:val="auto"/>
        <w:sz w:val="2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6D6F133A"/>
    <w:multiLevelType w:val="hybridMultilevel"/>
    <w:tmpl w:val="A0CAF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936076"/>
    <w:multiLevelType w:val="multilevel"/>
    <w:tmpl w:val="359C11BE"/>
    <w:lvl w:ilvl="0">
      <w:start w:val="1"/>
      <w:numFmt w:val="decimal"/>
      <w:lvlText w:val="%1."/>
      <w:lvlJc w:val="left"/>
      <w:pPr>
        <w:ind w:left="482" w:hanging="482"/>
      </w:pPr>
      <w:rPr>
        <w:rFonts w:hint="default"/>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7BCB6269"/>
    <w:multiLevelType w:val="hybridMultilevel"/>
    <w:tmpl w:val="5EA430F4"/>
    <w:lvl w:ilvl="0" w:tplc="96C8135E">
      <w:start w:val="1"/>
      <w:numFmt w:val="lowerLetter"/>
      <w:lvlText w:val="%1)"/>
      <w:lvlJc w:val="left"/>
      <w:pPr>
        <w:ind w:left="646" w:hanging="36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2500236">
    <w:abstractNumId w:val="3"/>
  </w:num>
  <w:num w:numId="2" w16cid:durableId="1005128252">
    <w:abstractNumId w:val="27"/>
  </w:num>
  <w:num w:numId="3" w16cid:durableId="1141583496">
    <w:abstractNumId w:val="18"/>
  </w:num>
  <w:num w:numId="4" w16cid:durableId="212816427">
    <w:abstractNumId w:val="0"/>
  </w:num>
  <w:num w:numId="5" w16cid:durableId="404568025">
    <w:abstractNumId w:val="5"/>
  </w:num>
  <w:num w:numId="6" w16cid:durableId="580287095">
    <w:abstractNumId w:val="8"/>
  </w:num>
  <w:num w:numId="7" w16cid:durableId="1161510327">
    <w:abstractNumId w:val="6"/>
  </w:num>
  <w:num w:numId="8" w16cid:durableId="1668440512">
    <w:abstractNumId w:val="2"/>
  </w:num>
  <w:num w:numId="9" w16cid:durableId="308823881">
    <w:abstractNumId w:val="26"/>
  </w:num>
  <w:num w:numId="10" w16cid:durableId="1223711345">
    <w:abstractNumId w:val="23"/>
  </w:num>
  <w:num w:numId="11" w16cid:durableId="1949771183">
    <w:abstractNumId w:val="16"/>
  </w:num>
  <w:num w:numId="12" w16cid:durableId="1294865667">
    <w:abstractNumId w:val="21"/>
  </w:num>
  <w:num w:numId="13" w16cid:durableId="992831689">
    <w:abstractNumId w:val="13"/>
  </w:num>
  <w:num w:numId="14" w16cid:durableId="665982112">
    <w:abstractNumId w:val="22"/>
  </w:num>
  <w:num w:numId="15" w16cid:durableId="1706907311">
    <w:abstractNumId w:val="24"/>
  </w:num>
  <w:num w:numId="16" w16cid:durableId="2101021649">
    <w:abstractNumId w:val="19"/>
  </w:num>
  <w:num w:numId="17" w16cid:durableId="1886872344">
    <w:abstractNumId w:val="7"/>
  </w:num>
  <w:num w:numId="18" w16cid:durableId="2035883683">
    <w:abstractNumId w:val="15"/>
  </w:num>
  <w:num w:numId="19" w16cid:durableId="1658419662">
    <w:abstractNumId w:val="20"/>
  </w:num>
  <w:num w:numId="20" w16cid:durableId="1674411928">
    <w:abstractNumId w:val="10"/>
  </w:num>
  <w:num w:numId="21" w16cid:durableId="1867593811">
    <w:abstractNumId w:val="28"/>
  </w:num>
  <w:num w:numId="22" w16cid:durableId="1292859268">
    <w:abstractNumId w:val="17"/>
  </w:num>
  <w:num w:numId="23" w16cid:durableId="1003893902">
    <w:abstractNumId w:val="4"/>
  </w:num>
  <w:num w:numId="24" w16cid:durableId="16853090">
    <w:abstractNumId w:val="1"/>
  </w:num>
  <w:num w:numId="25" w16cid:durableId="16933770">
    <w:abstractNumId w:val="14"/>
  </w:num>
  <w:num w:numId="26" w16cid:durableId="1328943775">
    <w:abstractNumId w:val="11"/>
  </w:num>
  <w:num w:numId="27" w16cid:durableId="420295252">
    <w:abstractNumId w:val="9"/>
  </w:num>
  <w:num w:numId="28" w16cid:durableId="690882761">
    <w:abstractNumId w:val="12"/>
  </w:num>
  <w:num w:numId="29" w16cid:durableId="454955095">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081B"/>
    <w:rsid w:val="00041261"/>
    <w:rsid w:val="000442EB"/>
    <w:rsid w:val="000528FC"/>
    <w:rsid w:val="00053E8F"/>
    <w:rsid w:val="00053F80"/>
    <w:rsid w:val="00054F95"/>
    <w:rsid w:val="00055EA0"/>
    <w:rsid w:val="000570F3"/>
    <w:rsid w:val="00060E44"/>
    <w:rsid w:val="000610EA"/>
    <w:rsid w:val="00061396"/>
    <w:rsid w:val="00062951"/>
    <w:rsid w:val="00063F4D"/>
    <w:rsid w:val="000654DB"/>
    <w:rsid w:val="00065B95"/>
    <w:rsid w:val="00065BA6"/>
    <w:rsid w:val="00070336"/>
    <w:rsid w:val="000708C2"/>
    <w:rsid w:val="0007559F"/>
    <w:rsid w:val="0007574E"/>
    <w:rsid w:val="00077D38"/>
    <w:rsid w:val="00081FE9"/>
    <w:rsid w:val="000829FC"/>
    <w:rsid w:val="0008615F"/>
    <w:rsid w:val="00087D53"/>
    <w:rsid w:val="000915B0"/>
    <w:rsid w:val="00091807"/>
    <w:rsid w:val="00092B8A"/>
    <w:rsid w:val="00093226"/>
    <w:rsid w:val="00093377"/>
    <w:rsid w:val="000940F2"/>
    <w:rsid w:val="00095398"/>
    <w:rsid w:val="000957D1"/>
    <w:rsid w:val="000958D1"/>
    <w:rsid w:val="000A1175"/>
    <w:rsid w:val="000A1A2A"/>
    <w:rsid w:val="000A38B5"/>
    <w:rsid w:val="000A4A30"/>
    <w:rsid w:val="000A5675"/>
    <w:rsid w:val="000A627A"/>
    <w:rsid w:val="000A6BEA"/>
    <w:rsid w:val="000A6DA1"/>
    <w:rsid w:val="000A7406"/>
    <w:rsid w:val="000A7FE5"/>
    <w:rsid w:val="000B06EF"/>
    <w:rsid w:val="000B0B9F"/>
    <w:rsid w:val="000B19D1"/>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247A"/>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0F670B"/>
    <w:rsid w:val="00100220"/>
    <w:rsid w:val="0010193B"/>
    <w:rsid w:val="00102380"/>
    <w:rsid w:val="001023B6"/>
    <w:rsid w:val="00103554"/>
    <w:rsid w:val="00103E62"/>
    <w:rsid w:val="0010628E"/>
    <w:rsid w:val="00106CAC"/>
    <w:rsid w:val="0011106E"/>
    <w:rsid w:val="00113485"/>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35C3"/>
    <w:rsid w:val="0015407F"/>
    <w:rsid w:val="00154CAD"/>
    <w:rsid w:val="00156F03"/>
    <w:rsid w:val="00157471"/>
    <w:rsid w:val="001605F2"/>
    <w:rsid w:val="001608EA"/>
    <w:rsid w:val="00160B49"/>
    <w:rsid w:val="001622E8"/>
    <w:rsid w:val="001625AA"/>
    <w:rsid w:val="0016302C"/>
    <w:rsid w:val="00163B6E"/>
    <w:rsid w:val="00163D90"/>
    <w:rsid w:val="00163FEA"/>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3D3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981"/>
    <w:rsid w:val="001D5559"/>
    <w:rsid w:val="001D7B03"/>
    <w:rsid w:val="001E043D"/>
    <w:rsid w:val="001E4CE0"/>
    <w:rsid w:val="001E4ED6"/>
    <w:rsid w:val="001E5C4C"/>
    <w:rsid w:val="001E67EB"/>
    <w:rsid w:val="001F07EE"/>
    <w:rsid w:val="001F07F7"/>
    <w:rsid w:val="001F0888"/>
    <w:rsid w:val="001F0F8B"/>
    <w:rsid w:val="001F1A76"/>
    <w:rsid w:val="001F1E0A"/>
    <w:rsid w:val="001F1ED4"/>
    <w:rsid w:val="001F2430"/>
    <w:rsid w:val="001F313E"/>
    <w:rsid w:val="001F3E21"/>
    <w:rsid w:val="001F6B42"/>
    <w:rsid w:val="001F7063"/>
    <w:rsid w:val="001F7884"/>
    <w:rsid w:val="001F7A51"/>
    <w:rsid w:val="00202FF5"/>
    <w:rsid w:val="00204104"/>
    <w:rsid w:val="0020536F"/>
    <w:rsid w:val="002056E6"/>
    <w:rsid w:val="00205967"/>
    <w:rsid w:val="0020637E"/>
    <w:rsid w:val="0021215B"/>
    <w:rsid w:val="002140B9"/>
    <w:rsid w:val="002203A6"/>
    <w:rsid w:val="0022540F"/>
    <w:rsid w:val="00226951"/>
    <w:rsid w:val="00226BFA"/>
    <w:rsid w:val="00226D91"/>
    <w:rsid w:val="00230F7C"/>
    <w:rsid w:val="002313BE"/>
    <w:rsid w:val="002314C8"/>
    <w:rsid w:val="00232FAE"/>
    <w:rsid w:val="00233842"/>
    <w:rsid w:val="00234730"/>
    <w:rsid w:val="00234764"/>
    <w:rsid w:val="002358C4"/>
    <w:rsid w:val="00240804"/>
    <w:rsid w:val="00240EC4"/>
    <w:rsid w:val="00240ED8"/>
    <w:rsid w:val="00241036"/>
    <w:rsid w:val="00241526"/>
    <w:rsid w:val="00245995"/>
    <w:rsid w:val="00246585"/>
    <w:rsid w:val="0024689F"/>
    <w:rsid w:val="00250900"/>
    <w:rsid w:val="00250D62"/>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5125"/>
    <w:rsid w:val="00286E98"/>
    <w:rsid w:val="00287FAF"/>
    <w:rsid w:val="00290D88"/>
    <w:rsid w:val="0029248B"/>
    <w:rsid w:val="00293B16"/>
    <w:rsid w:val="002948B9"/>
    <w:rsid w:val="00295094"/>
    <w:rsid w:val="0029647F"/>
    <w:rsid w:val="00296B22"/>
    <w:rsid w:val="00296C2A"/>
    <w:rsid w:val="00297184"/>
    <w:rsid w:val="00297EBF"/>
    <w:rsid w:val="002A1021"/>
    <w:rsid w:val="002A25BB"/>
    <w:rsid w:val="002A34D1"/>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6AAF"/>
    <w:rsid w:val="002F7B19"/>
    <w:rsid w:val="003029E5"/>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3B37"/>
    <w:rsid w:val="0033480A"/>
    <w:rsid w:val="00335E8D"/>
    <w:rsid w:val="003434D6"/>
    <w:rsid w:val="00343A95"/>
    <w:rsid w:val="0034438C"/>
    <w:rsid w:val="00344A78"/>
    <w:rsid w:val="00344DB7"/>
    <w:rsid w:val="00346B55"/>
    <w:rsid w:val="00346C84"/>
    <w:rsid w:val="003526F8"/>
    <w:rsid w:val="00352CA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1F9A"/>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3F07"/>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4D6"/>
    <w:rsid w:val="003C558F"/>
    <w:rsid w:val="003C62C9"/>
    <w:rsid w:val="003D25AA"/>
    <w:rsid w:val="003D3801"/>
    <w:rsid w:val="003D3A4A"/>
    <w:rsid w:val="003D5897"/>
    <w:rsid w:val="003D5A21"/>
    <w:rsid w:val="003D64FB"/>
    <w:rsid w:val="003D6598"/>
    <w:rsid w:val="003D6890"/>
    <w:rsid w:val="003D7AC8"/>
    <w:rsid w:val="003D7D20"/>
    <w:rsid w:val="003E0877"/>
    <w:rsid w:val="003E2518"/>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4398"/>
    <w:rsid w:val="004048C3"/>
    <w:rsid w:val="0040542C"/>
    <w:rsid w:val="00405BBC"/>
    <w:rsid w:val="00405FA8"/>
    <w:rsid w:val="00407088"/>
    <w:rsid w:val="00407B5D"/>
    <w:rsid w:val="00410CD9"/>
    <w:rsid w:val="004160F7"/>
    <w:rsid w:val="00416834"/>
    <w:rsid w:val="00417C22"/>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0992"/>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C22"/>
    <w:rsid w:val="00507EE7"/>
    <w:rsid w:val="005121A8"/>
    <w:rsid w:val="00512F1F"/>
    <w:rsid w:val="00513884"/>
    <w:rsid w:val="00514BEE"/>
    <w:rsid w:val="005155D3"/>
    <w:rsid w:val="00515CD9"/>
    <w:rsid w:val="00515F08"/>
    <w:rsid w:val="005168B7"/>
    <w:rsid w:val="005168B9"/>
    <w:rsid w:val="00516EB4"/>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493F"/>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64D3"/>
    <w:rsid w:val="005A795C"/>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1221"/>
    <w:rsid w:val="005D2EDE"/>
    <w:rsid w:val="005D5996"/>
    <w:rsid w:val="005D64E0"/>
    <w:rsid w:val="005D6DBA"/>
    <w:rsid w:val="005D6F9D"/>
    <w:rsid w:val="005D7494"/>
    <w:rsid w:val="005D7565"/>
    <w:rsid w:val="005E2C05"/>
    <w:rsid w:val="005E3DAD"/>
    <w:rsid w:val="005E6573"/>
    <w:rsid w:val="005E6FEB"/>
    <w:rsid w:val="005E73B1"/>
    <w:rsid w:val="005E7750"/>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50D4"/>
    <w:rsid w:val="00625703"/>
    <w:rsid w:val="006266DE"/>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28A5"/>
    <w:rsid w:val="006839CE"/>
    <w:rsid w:val="00684D10"/>
    <w:rsid w:val="00685DEE"/>
    <w:rsid w:val="00687024"/>
    <w:rsid w:val="00687A7A"/>
    <w:rsid w:val="00691EEB"/>
    <w:rsid w:val="00692A07"/>
    <w:rsid w:val="006953F5"/>
    <w:rsid w:val="00696638"/>
    <w:rsid w:val="00696E82"/>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07CA"/>
    <w:rsid w:val="006E171A"/>
    <w:rsid w:val="006E1BEE"/>
    <w:rsid w:val="006E256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1F2A"/>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8D"/>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3DA4"/>
    <w:rsid w:val="007B559A"/>
    <w:rsid w:val="007B6AAC"/>
    <w:rsid w:val="007B75E2"/>
    <w:rsid w:val="007B7910"/>
    <w:rsid w:val="007C0036"/>
    <w:rsid w:val="007C2657"/>
    <w:rsid w:val="007C281C"/>
    <w:rsid w:val="007C4318"/>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0B28"/>
    <w:rsid w:val="00861193"/>
    <w:rsid w:val="0086202D"/>
    <w:rsid w:val="00863899"/>
    <w:rsid w:val="008639A2"/>
    <w:rsid w:val="0086739B"/>
    <w:rsid w:val="008675B4"/>
    <w:rsid w:val="00870796"/>
    <w:rsid w:val="00871110"/>
    <w:rsid w:val="00872CD3"/>
    <w:rsid w:val="0087325B"/>
    <w:rsid w:val="0087587B"/>
    <w:rsid w:val="00875BDF"/>
    <w:rsid w:val="008761DC"/>
    <w:rsid w:val="008765E5"/>
    <w:rsid w:val="00880216"/>
    <w:rsid w:val="00880E55"/>
    <w:rsid w:val="008815F0"/>
    <w:rsid w:val="00881E63"/>
    <w:rsid w:val="008841F6"/>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203"/>
    <w:rsid w:val="008A09F1"/>
    <w:rsid w:val="008A0B52"/>
    <w:rsid w:val="008A119F"/>
    <w:rsid w:val="008A30BC"/>
    <w:rsid w:val="008A3656"/>
    <w:rsid w:val="008A414F"/>
    <w:rsid w:val="008A525C"/>
    <w:rsid w:val="008A5A89"/>
    <w:rsid w:val="008A7BAA"/>
    <w:rsid w:val="008B3922"/>
    <w:rsid w:val="008B430D"/>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9F4"/>
    <w:rsid w:val="008F6A56"/>
    <w:rsid w:val="00900977"/>
    <w:rsid w:val="00901EE5"/>
    <w:rsid w:val="00901F2B"/>
    <w:rsid w:val="00903E57"/>
    <w:rsid w:val="0090472F"/>
    <w:rsid w:val="0090647A"/>
    <w:rsid w:val="009067A8"/>
    <w:rsid w:val="009071FC"/>
    <w:rsid w:val="0091153A"/>
    <w:rsid w:val="00911A43"/>
    <w:rsid w:val="0091243E"/>
    <w:rsid w:val="009127D5"/>
    <w:rsid w:val="009135D9"/>
    <w:rsid w:val="00915B01"/>
    <w:rsid w:val="00915B9A"/>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57F09"/>
    <w:rsid w:val="00960C4C"/>
    <w:rsid w:val="00961ABE"/>
    <w:rsid w:val="009621E2"/>
    <w:rsid w:val="009630C3"/>
    <w:rsid w:val="0096492F"/>
    <w:rsid w:val="00964E50"/>
    <w:rsid w:val="00966553"/>
    <w:rsid w:val="009702D6"/>
    <w:rsid w:val="00972A76"/>
    <w:rsid w:val="00974484"/>
    <w:rsid w:val="00976440"/>
    <w:rsid w:val="00976D7C"/>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3B8A"/>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2B2B"/>
    <w:rsid w:val="00A03D81"/>
    <w:rsid w:val="00A05917"/>
    <w:rsid w:val="00A05D1D"/>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2BC"/>
    <w:rsid w:val="00A5248E"/>
    <w:rsid w:val="00A52E07"/>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84AE7"/>
    <w:rsid w:val="00A929B8"/>
    <w:rsid w:val="00A945FF"/>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283"/>
    <w:rsid w:val="00AD57FB"/>
    <w:rsid w:val="00AD6214"/>
    <w:rsid w:val="00AD6F72"/>
    <w:rsid w:val="00AD71B8"/>
    <w:rsid w:val="00AE03C9"/>
    <w:rsid w:val="00AE2453"/>
    <w:rsid w:val="00AE41AD"/>
    <w:rsid w:val="00AE4214"/>
    <w:rsid w:val="00AE4239"/>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09D0"/>
    <w:rsid w:val="00B01A99"/>
    <w:rsid w:val="00B01DFC"/>
    <w:rsid w:val="00B0276A"/>
    <w:rsid w:val="00B03191"/>
    <w:rsid w:val="00B0336C"/>
    <w:rsid w:val="00B03630"/>
    <w:rsid w:val="00B04BE4"/>
    <w:rsid w:val="00B06552"/>
    <w:rsid w:val="00B06BF7"/>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570F"/>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3232"/>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E5830"/>
    <w:rsid w:val="00BE754D"/>
    <w:rsid w:val="00BF09FF"/>
    <w:rsid w:val="00BF29AB"/>
    <w:rsid w:val="00BF3FCC"/>
    <w:rsid w:val="00BF466D"/>
    <w:rsid w:val="00BF5EA2"/>
    <w:rsid w:val="00BF770B"/>
    <w:rsid w:val="00BF7EE7"/>
    <w:rsid w:val="00C02506"/>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4E30"/>
    <w:rsid w:val="00C3510D"/>
    <w:rsid w:val="00C364AB"/>
    <w:rsid w:val="00C37636"/>
    <w:rsid w:val="00C37C1B"/>
    <w:rsid w:val="00C37D63"/>
    <w:rsid w:val="00C41084"/>
    <w:rsid w:val="00C4229B"/>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307C"/>
    <w:rsid w:val="00CB5D8A"/>
    <w:rsid w:val="00CB7A6B"/>
    <w:rsid w:val="00CC17B8"/>
    <w:rsid w:val="00CC2FFE"/>
    <w:rsid w:val="00CC4468"/>
    <w:rsid w:val="00CD0933"/>
    <w:rsid w:val="00CD181E"/>
    <w:rsid w:val="00CD1B40"/>
    <w:rsid w:val="00CD3E17"/>
    <w:rsid w:val="00CD52BB"/>
    <w:rsid w:val="00CD75B0"/>
    <w:rsid w:val="00CD7622"/>
    <w:rsid w:val="00CD782A"/>
    <w:rsid w:val="00CE0704"/>
    <w:rsid w:val="00CE1E75"/>
    <w:rsid w:val="00CE3A3B"/>
    <w:rsid w:val="00CE650F"/>
    <w:rsid w:val="00CE6BC3"/>
    <w:rsid w:val="00CE71AA"/>
    <w:rsid w:val="00CE79A3"/>
    <w:rsid w:val="00CE7D31"/>
    <w:rsid w:val="00CF0C27"/>
    <w:rsid w:val="00CF10FC"/>
    <w:rsid w:val="00CF1E63"/>
    <w:rsid w:val="00CF2166"/>
    <w:rsid w:val="00CF2B6C"/>
    <w:rsid w:val="00CF3C8D"/>
    <w:rsid w:val="00CF3FAB"/>
    <w:rsid w:val="00CF67EC"/>
    <w:rsid w:val="00CF6E62"/>
    <w:rsid w:val="00D003D7"/>
    <w:rsid w:val="00D018CC"/>
    <w:rsid w:val="00D06B42"/>
    <w:rsid w:val="00D06F34"/>
    <w:rsid w:val="00D125FC"/>
    <w:rsid w:val="00D12BA4"/>
    <w:rsid w:val="00D1339D"/>
    <w:rsid w:val="00D1399A"/>
    <w:rsid w:val="00D13E2C"/>
    <w:rsid w:val="00D14B36"/>
    <w:rsid w:val="00D15621"/>
    <w:rsid w:val="00D2221E"/>
    <w:rsid w:val="00D25BAC"/>
    <w:rsid w:val="00D31225"/>
    <w:rsid w:val="00D32600"/>
    <w:rsid w:val="00D33236"/>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6D5A"/>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5A67"/>
    <w:rsid w:val="00D97FDB"/>
    <w:rsid w:val="00DA191A"/>
    <w:rsid w:val="00DA1F58"/>
    <w:rsid w:val="00DA2172"/>
    <w:rsid w:val="00DA289F"/>
    <w:rsid w:val="00DA44C5"/>
    <w:rsid w:val="00DA5425"/>
    <w:rsid w:val="00DA54B6"/>
    <w:rsid w:val="00DA6204"/>
    <w:rsid w:val="00DB3AC1"/>
    <w:rsid w:val="00DB4100"/>
    <w:rsid w:val="00DB71E7"/>
    <w:rsid w:val="00DC376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2CC7"/>
    <w:rsid w:val="00DF3D99"/>
    <w:rsid w:val="00DF4290"/>
    <w:rsid w:val="00DF5402"/>
    <w:rsid w:val="00E00405"/>
    <w:rsid w:val="00E012D8"/>
    <w:rsid w:val="00E01798"/>
    <w:rsid w:val="00E01D98"/>
    <w:rsid w:val="00E01E13"/>
    <w:rsid w:val="00E04F3C"/>
    <w:rsid w:val="00E06A09"/>
    <w:rsid w:val="00E071FA"/>
    <w:rsid w:val="00E112EE"/>
    <w:rsid w:val="00E12952"/>
    <w:rsid w:val="00E13BD1"/>
    <w:rsid w:val="00E13D12"/>
    <w:rsid w:val="00E16BEC"/>
    <w:rsid w:val="00E203E1"/>
    <w:rsid w:val="00E213CF"/>
    <w:rsid w:val="00E233BC"/>
    <w:rsid w:val="00E2412D"/>
    <w:rsid w:val="00E254FA"/>
    <w:rsid w:val="00E26DA9"/>
    <w:rsid w:val="00E27B6C"/>
    <w:rsid w:val="00E30521"/>
    <w:rsid w:val="00E313FC"/>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477D"/>
    <w:rsid w:val="00E855B8"/>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39F9"/>
    <w:rsid w:val="00EB4155"/>
    <w:rsid w:val="00EB5B58"/>
    <w:rsid w:val="00EB5CE8"/>
    <w:rsid w:val="00EB6121"/>
    <w:rsid w:val="00EB6158"/>
    <w:rsid w:val="00EB671E"/>
    <w:rsid w:val="00EB6BAB"/>
    <w:rsid w:val="00EB6FF6"/>
    <w:rsid w:val="00EB743E"/>
    <w:rsid w:val="00EB7E45"/>
    <w:rsid w:val="00EC0F45"/>
    <w:rsid w:val="00EC1BC6"/>
    <w:rsid w:val="00EC2BDF"/>
    <w:rsid w:val="00EC33AF"/>
    <w:rsid w:val="00EC35EA"/>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17083"/>
    <w:rsid w:val="00F2021D"/>
    <w:rsid w:val="00F227E8"/>
    <w:rsid w:val="00F25849"/>
    <w:rsid w:val="00F25E1A"/>
    <w:rsid w:val="00F26C9C"/>
    <w:rsid w:val="00F27AB0"/>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37AC"/>
    <w:rsid w:val="00F64676"/>
    <w:rsid w:val="00F646DB"/>
    <w:rsid w:val="00F64E6F"/>
    <w:rsid w:val="00F664D6"/>
    <w:rsid w:val="00F66595"/>
    <w:rsid w:val="00F6692B"/>
    <w:rsid w:val="00F67188"/>
    <w:rsid w:val="00F67C39"/>
    <w:rsid w:val="00F701CB"/>
    <w:rsid w:val="00F724AB"/>
    <w:rsid w:val="00F72CEB"/>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734"/>
    <w:rsid w:val="00FB3D2F"/>
    <w:rsid w:val="00FB3E6C"/>
    <w:rsid w:val="00FC0068"/>
    <w:rsid w:val="00FC1EDF"/>
    <w:rsid w:val="00FC2ED0"/>
    <w:rsid w:val="00FC3F91"/>
    <w:rsid w:val="00FC48E3"/>
    <w:rsid w:val="00FC498C"/>
    <w:rsid w:val="00FD281A"/>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1D0D71"/>
  <w14:defaultImageDpi w14:val="300"/>
  <w15:docId w15:val="{60EE2ABD-E3C8-4EB0-AD69-E9646A8F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ListParagraph"/>
    <w:next w:val="Normal"/>
    <w:qFormat/>
    <w:rsid w:val="00204104"/>
    <w:pPr>
      <w:suppressAutoHyphens/>
      <w:spacing w:before="200" w:after="200"/>
      <w:ind w:left="0"/>
      <w:jc w:val="both"/>
      <w:outlineLvl w:val="1"/>
    </w:pPr>
    <w:rPr>
      <w:rFonts w:cs="Arial"/>
      <w:b/>
      <w:sz w:val="24"/>
    </w:rPr>
  </w:style>
  <w:style w:type="paragraph" w:styleId="Heading3">
    <w:name w:val="heading 3"/>
    <w:basedOn w:val="Normal"/>
    <w:next w:val="Normal"/>
    <w:qFormat/>
    <w:rsid w:val="00691EEB"/>
    <w:pPr>
      <w:tabs>
        <w:tab w:val="left" w:pos="567"/>
      </w:tabs>
      <w:suppressAutoHyphens/>
      <w:spacing w:after="120"/>
      <w:jc w:val="both"/>
      <w:outlineLvl w:val="2"/>
    </w:pPr>
    <w:rPr>
      <w:rFonts w:cs="Arial"/>
      <w:b/>
      <w:szCs w:val="22"/>
    </w:rPr>
  </w:style>
  <w:style w:type="paragraph" w:styleId="Heading4">
    <w:name w:val="heading 4"/>
    <w:basedOn w:val="Normal"/>
    <w:next w:val="Normal"/>
    <w:link w:val="Heading4Char"/>
    <w:qFormat/>
    <w:rsid w:val="00691EEB"/>
    <w:pPr>
      <w:keepNext/>
      <w:spacing w:before="240" w:after="60"/>
      <w:outlineLvl w:val="3"/>
    </w:pPr>
    <w:rPr>
      <w:rFonts w:eastAsia="MS Mincho"/>
      <w:b/>
      <w:bCs/>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rsid w:val="00691EEB"/>
    <w:rPr>
      <w:rFonts w:ascii="Arial" w:eastAsia="MS Mincho" w:hAnsi="Arial"/>
      <w:b/>
      <w:bCs/>
      <w:sz w:val="22"/>
      <w:szCs w:val="28"/>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uiPriority w:val="99"/>
    <w:rsid w:val="00D40614"/>
    <w:rPr>
      <w:rFonts w:ascii="Arial" w:hAnsi="Arial"/>
      <w:sz w:val="22"/>
      <w:szCs w:val="24"/>
      <w:lang w:eastAsia="en-AU"/>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customStyle="1" w:styleId="Default">
    <w:name w:val="Default"/>
    <w:rsid w:val="00F27AB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1EEB"/>
    <w:pPr>
      <w:spacing w:after="0"/>
      <w:ind w:left="720"/>
      <w:contextualSpacing/>
    </w:pPr>
    <w:rPr>
      <w:rFonts w:eastAsia="MS Mincho"/>
      <w:lang w:val="en-US" w:eastAsia="en-US"/>
    </w:rPr>
  </w:style>
  <w:style w:type="character" w:styleId="Hyperlink">
    <w:name w:val="Hyperlink"/>
    <w:basedOn w:val="DefaultParagraphFont"/>
    <w:rsid w:val="00DF2CC7"/>
    <w:rPr>
      <w:color w:val="0000FF" w:themeColor="hyperlink"/>
      <w:u w:val="single"/>
    </w:rPr>
  </w:style>
  <w:style w:type="paragraph" w:styleId="CommentText">
    <w:name w:val="annotation text"/>
    <w:basedOn w:val="Normal"/>
    <w:link w:val="CommentTextChar"/>
    <w:semiHidden/>
    <w:rsid w:val="00BE754D"/>
    <w:pPr>
      <w:spacing w:after="0"/>
    </w:pPr>
    <w:rPr>
      <w:rFonts w:cs="Arial"/>
      <w:sz w:val="20"/>
      <w:szCs w:val="20"/>
    </w:rPr>
  </w:style>
  <w:style w:type="character" w:customStyle="1" w:styleId="CommentTextChar">
    <w:name w:val="Comment Text Char"/>
    <w:basedOn w:val="DefaultParagraphFont"/>
    <w:link w:val="CommentText"/>
    <w:semiHidden/>
    <w:rsid w:val="00BE754D"/>
    <w:rPr>
      <w:rFonts w:ascii="Arial" w:hAnsi="Arial" w:cs="Arial"/>
    </w:rPr>
  </w:style>
  <w:style w:type="character" w:styleId="CommentReference">
    <w:name w:val="annotation reference"/>
    <w:semiHidden/>
    <w:rsid w:val="00C02506"/>
    <w:rPr>
      <w:sz w:val="16"/>
      <w:szCs w:val="16"/>
    </w:rPr>
  </w:style>
  <w:style w:type="character" w:customStyle="1" w:styleId="FooterChar">
    <w:name w:val="Footer Char"/>
    <w:basedOn w:val="DefaultParagraphFont"/>
    <w:link w:val="Footer"/>
    <w:uiPriority w:val="99"/>
    <w:rsid w:val="00A52E07"/>
    <w:rPr>
      <w:rFonts w:ascii="Arial" w:hAnsi="Arial"/>
      <w:sz w:val="22"/>
      <w:szCs w:val="24"/>
    </w:rPr>
  </w:style>
  <w:style w:type="paragraph" w:styleId="Title">
    <w:name w:val="Title"/>
    <w:basedOn w:val="Normal"/>
    <w:next w:val="Normal"/>
    <w:link w:val="TitleChar"/>
    <w:qFormat/>
    <w:rsid w:val="00EC0F4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C0F45"/>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rsid w:val="003D7D20"/>
    <w:pPr>
      <w:suppressAutoHyphens/>
      <w:spacing w:after="100"/>
    </w:pPr>
    <w:rPr>
      <w:rFonts w:cs="Times New Roman"/>
      <w:b/>
      <w:bCs/>
    </w:rPr>
  </w:style>
  <w:style w:type="character" w:customStyle="1" w:styleId="CommentSubjectChar">
    <w:name w:val="Comment Subject Char"/>
    <w:basedOn w:val="CommentTextChar"/>
    <w:link w:val="CommentSubject"/>
    <w:rsid w:val="003D7D20"/>
    <w:rPr>
      <w:rFonts w:ascii="Arial" w:hAnsi="Arial" w:cs="Arial"/>
      <w:b/>
      <w:bCs/>
    </w:rPr>
  </w:style>
  <w:style w:type="paragraph" w:styleId="Revision">
    <w:name w:val="Revision"/>
    <w:hidden/>
    <w:uiPriority w:val="99"/>
    <w:semiHidden/>
    <w:rsid w:val="003D7D20"/>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rectorforensicdisability@dsdsatsip.qld.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04DC5-3DF1-4FDE-89B6-4186F4AF7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1874</Words>
  <Characters>10687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Working with Allied Persons</vt:lpstr>
    </vt:vector>
  </TitlesOfParts>
  <Manager/>
  <Company>Queensland Government</Company>
  <LinksUpToDate>false</LinksUpToDate>
  <CharactersWithSpaces>12536</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with Allied Persons</dc:title>
  <dc:subject>Working with Allied Persons Procedure</dc:subject>
  <dc:creator>Director of Forensic Disability</dc:creator>
  <cp:keywords>operational; procedure; forensic; disability; client; working; allied; persons</cp:keywords>
  <cp:lastModifiedBy>Megan Crofts</cp:lastModifiedBy>
  <cp:revision>3</cp:revision>
  <cp:lastPrinted>2020-03-24T05:03:00Z</cp:lastPrinted>
  <dcterms:created xsi:type="dcterms:W3CDTF">2024-05-07T01:45:00Z</dcterms:created>
  <dcterms:modified xsi:type="dcterms:W3CDTF">2024-05-07T07:02:00Z</dcterms:modified>
  <cp:category>Working with Allied Persons Procedure</cp:category>
</cp:coreProperties>
</file>