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22C" w14:textId="77777777" w:rsidR="00861193" w:rsidRPr="00DE7318" w:rsidRDefault="00861193" w:rsidP="00861193">
      <w:pPr>
        <w:pStyle w:val="Heading1"/>
        <w:jc w:val="center"/>
        <w:rPr>
          <w:szCs w:val="48"/>
        </w:rPr>
      </w:pPr>
      <w:r w:rsidRPr="00DE7318">
        <w:rPr>
          <w:szCs w:val="48"/>
        </w:rPr>
        <w:t>Director of Forensic Disability</w:t>
      </w:r>
    </w:p>
    <w:p w14:paraId="70D897C6" w14:textId="42588EC9" w:rsidR="00861193" w:rsidRPr="00DE7318" w:rsidRDefault="003D7D20" w:rsidP="00861193">
      <w:pPr>
        <w:pStyle w:val="Heading1"/>
        <w:jc w:val="center"/>
        <w:rPr>
          <w:szCs w:val="48"/>
        </w:rPr>
      </w:pPr>
      <w:r>
        <w:rPr>
          <w:szCs w:val="48"/>
        </w:rPr>
        <w:t>PROCEDURE</w:t>
      </w:r>
    </w:p>
    <w:p w14:paraId="4043864F" w14:textId="30AC84FE" w:rsidR="00861193" w:rsidRPr="00EE46E8" w:rsidRDefault="00861193" w:rsidP="00A31B38">
      <w:pPr>
        <w:pStyle w:val="Heading1"/>
        <w:pBdr>
          <w:bottom w:val="single" w:sz="6" w:space="1" w:color="auto"/>
        </w:pBdr>
        <w:spacing w:before="360" w:after="360"/>
        <w:ind w:left="1440" w:hanging="1440"/>
        <w:rPr>
          <w:b w:val="0"/>
          <w:sz w:val="36"/>
          <w:szCs w:val="36"/>
        </w:rPr>
      </w:pPr>
      <w:r w:rsidRPr="00EE46E8">
        <w:rPr>
          <w:sz w:val="36"/>
          <w:szCs w:val="36"/>
        </w:rPr>
        <w:t>Title:</w:t>
      </w:r>
      <w:r w:rsidRPr="00EE46E8">
        <w:rPr>
          <w:sz w:val="36"/>
          <w:szCs w:val="36"/>
        </w:rPr>
        <w:tab/>
      </w:r>
      <w:r w:rsidR="00A31B38">
        <w:rPr>
          <w:b w:val="0"/>
          <w:sz w:val="36"/>
          <w:szCs w:val="36"/>
        </w:rPr>
        <w:t>Regulated Behaviour Control:</w:t>
      </w:r>
      <w:r w:rsidR="00A31B38">
        <w:rPr>
          <w:b w:val="0"/>
          <w:sz w:val="36"/>
          <w:szCs w:val="36"/>
        </w:rPr>
        <w:br/>
      </w:r>
      <w:r w:rsidR="00EB3D14">
        <w:rPr>
          <w:b w:val="0"/>
          <w:sz w:val="36"/>
          <w:szCs w:val="36"/>
        </w:rPr>
        <w:t>Use of Restraint (Mechanical)</w:t>
      </w:r>
    </w:p>
    <w:p w14:paraId="6685765A" w14:textId="77777777" w:rsidR="00EB3D14" w:rsidRPr="00EB3D14" w:rsidRDefault="00EB3D14" w:rsidP="00EB3D14">
      <w:pPr>
        <w:pStyle w:val="Heading2"/>
      </w:pPr>
      <w:r w:rsidRPr="00EB3D14">
        <w:t>Purpose</w:t>
      </w:r>
    </w:p>
    <w:p w14:paraId="291A5009" w14:textId="77777777" w:rsidR="00EB3D14" w:rsidRPr="005B5AF7" w:rsidRDefault="00EB3D14" w:rsidP="0054788D">
      <w:pPr>
        <w:suppressAutoHyphens/>
        <w:jc w:val="both"/>
        <w:rPr>
          <w:szCs w:val="22"/>
        </w:rPr>
      </w:pPr>
      <w:r w:rsidRPr="005B5AF7">
        <w:rPr>
          <w:rFonts w:cs="Arial"/>
          <w:szCs w:val="22"/>
        </w:rPr>
        <w:t xml:space="preserve">This procedure is issued by the Director of Forensic Disability in accordance with section 91 of the </w:t>
      </w:r>
      <w:r w:rsidRPr="005B5AF7">
        <w:rPr>
          <w:rFonts w:cs="Arial"/>
          <w:i/>
          <w:szCs w:val="22"/>
        </w:rPr>
        <w:t xml:space="preserve">Forensic Disability Act 2011 </w:t>
      </w:r>
      <w:r w:rsidRPr="005B5AF7">
        <w:rPr>
          <w:rFonts w:cs="Arial"/>
          <w:szCs w:val="22"/>
        </w:rPr>
        <w:t xml:space="preserve">(the Act) and </w:t>
      </w:r>
      <w:r w:rsidRPr="005B5AF7">
        <w:rPr>
          <w:szCs w:val="22"/>
        </w:rPr>
        <w:t>sets out the process for the use of:</w:t>
      </w:r>
    </w:p>
    <w:p w14:paraId="4E3CEE7D" w14:textId="1ACB6C00" w:rsidR="00EB3D14" w:rsidRDefault="00EB3D14" w:rsidP="00B30048">
      <w:pPr>
        <w:pStyle w:val="ListParagraph"/>
        <w:numPr>
          <w:ilvl w:val="0"/>
          <w:numId w:val="19"/>
        </w:numPr>
        <w:jc w:val="both"/>
      </w:pPr>
      <w:r w:rsidRPr="005B5AF7">
        <w:rPr>
          <w:b/>
        </w:rPr>
        <w:t>Restraint (</w:t>
      </w:r>
      <w:r>
        <w:rPr>
          <w:b/>
        </w:rPr>
        <w:t>M</w:t>
      </w:r>
      <w:r w:rsidRPr="005B5AF7">
        <w:rPr>
          <w:b/>
        </w:rPr>
        <w:t>echanical)</w:t>
      </w:r>
      <w:r w:rsidRPr="005B5AF7">
        <w:t xml:space="preserve"> within the </w:t>
      </w:r>
      <w:r>
        <w:t>Forensic Disability Service (</w:t>
      </w:r>
      <w:r w:rsidRPr="005B5AF7">
        <w:t>FDS</w:t>
      </w:r>
      <w:r>
        <w:t>)</w:t>
      </w:r>
      <w:r w:rsidRPr="005B5AF7">
        <w:t xml:space="preserve"> as def</w:t>
      </w:r>
      <w:r w:rsidR="00B30048">
        <w:t>ined and regulated by the Act.</w:t>
      </w:r>
    </w:p>
    <w:p w14:paraId="5F45FB6D" w14:textId="77777777" w:rsidR="00B30048" w:rsidRPr="005B5AF7" w:rsidRDefault="00B30048" w:rsidP="00B30048">
      <w:pPr>
        <w:pStyle w:val="ListParagraph"/>
        <w:ind w:left="646"/>
        <w:jc w:val="both"/>
      </w:pPr>
    </w:p>
    <w:p w14:paraId="681111F7" w14:textId="77777777" w:rsidR="00EB3D14" w:rsidRPr="005B5AF7" w:rsidRDefault="00EB3D14" w:rsidP="0054788D">
      <w:pPr>
        <w:suppressAutoHyphens/>
        <w:jc w:val="both"/>
        <w:rPr>
          <w:szCs w:val="22"/>
        </w:rPr>
      </w:pPr>
      <w:r w:rsidRPr="005B5AF7">
        <w:rPr>
          <w:szCs w:val="22"/>
        </w:rPr>
        <w:t xml:space="preserve">This procedure </w:t>
      </w:r>
      <w:r w:rsidRPr="005B5AF7">
        <w:rPr>
          <w:b/>
          <w:szCs w:val="22"/>
        </w:rPr>
        <w:t>must</w:t>
      </w:r>
      <w:r w:rsidRPr="005B5AF7">
        <w:rPr>
          <w:szCs w:val="22"/>
        </w:rPr>
        <w:t xml:space="preserve"> be read in conjunction with the </w:t>
      </w:r>
      <w:r w:rsidRPr="005B5AF7">
        <w:rPr>
          <w:i/>
          <w:szCs w:val="22"/>
        </w:rPr>
        <w:t>Director of Forensic Disability Policy - Regulated Behaviour Control</w:t>
      </w:r>
      <w:r w:rsidRPr="005B5AF7">
        <w:rPr>
          <w:szCs w:val="22"/>
        </w:rPr>
        <w:t>.</w:t>
      </w:r>
    </w:p>
    <w:p w14:paraId="63FDF24F" w14:textId="77777777" w:rsidR="00EB3D14" w:rsidRPr="005B5AF7" w:rsidRDefault="00EB3D14" w:rsidP="0054788D">
      <w:pPr>
        <w:pStyle w:val="Heading2"/>
      </w:pPr>
      <w:r w:rsidRPr="005B5AF7">
        <w:t>Procedure</w:t>
      </w:r>
    </w:p>
    <w:p w14:paraId="2045AA6D" w14:textId="77777777" w:rsidR="00EB3D14" w:rsidRPr="00EB3D14" w:rsidRDefault="00EB3D14" w:rsidP="0054788D">
      <w:pPr>
        <w:pStyle w:val="Heading3"/>
        <w:numPr>
          <w:ilvl w:val="0"/>
          <w:numId w:val="20"/>
        </w:numPr>
        <w:rPr>
          <w:szCs w:val="24"/>
        </w:rPr>
      </w:pPr>
      <w:r w:rsidRPr="00EB3D14">
        <w:rPr>
          <w:szCs w:val="24"/>
        </w:rPr>
        <w:t>Restraint (Mechanical)</w:t>
      </w:r>
    </w:p>
    <w:p w14:paraId="2BA7D664" w14:textId="77777777" w:rsidR="00EB3D14" w:rsidRDefault="00EB3D14" w:rsidP="0054788D">
      <w:pPr>
        <w:suppressAutoHyphens/>
        <w:jc w:val="both"/>
        <w:rPr>
          <w:szCs w:val="22"/>
        </w:rPr>
      </w:pPr>
      <w:r>
        <w:rPr>
          <w:szCs w:val="22"/>
        </w:rPr>
        <w:t xml:space="preserve">Mechanical restraint is the use of a mechanical appliance approved by the Director of Forensic Disability preventing the free movement of the client’s body or a limb of the client. </w:t>
      </w:r>
    </w:p>
    <w:p w14:paraId="6B357B48" w14:textId="77777777" w:rsidR="00EB3D14" w:rsidRDefault="00EB3D14" w:rsidP="0054788D">
      <w:pPr>
        <w:suppressAutoHyphens/>
        <w:jc w:val="both"/>
        <w:rPr>
          <w:szCs w:val="22"/>
        </w:rPr>
      </w:pPr>
      <w:r>
        <w:rPr>
          <w:szCs w:val="22"/>
        </w:rPr>
        <w:t xml:space="preserve">A surgical or medical appliance for the proper treatment of physical disease or injury is not mechanical restraint. </w:t>
      </w:r>
    </w:p>
    <w:p w14:paraId="63C4C700" w14:textId="76A97DB8" w:rsidR="00EB3D14" w:rsidRDefault="00EB3D14" w:rsidP="0054788D">
      <w:pPr>
        <w:suppressAutoHyphens/>
        <w:jc w:val="both"/>
        <w:rPr>
          <w:szCs w:val="22"/>
        </w:rPr>
      </w:pPr>
      <w:r>
        <w:rPr>
          <w:szCs w:val="22"/>
        </w:rPr>
        <w:t xml:space="preserve">Mechanical restraint cannot be used at the FDS unless </w:t>
      </w:r>
      <w:r w:rsidR="0054788D">
        <w:rPr>
          <w:szCs w:val="22"/>
        </w:rPr>
        <w:t>approved by the Director under s</w:t>
      </w:r>
      <w:r>
        <w:rPr>
          <w:szCs w:val="22"/>
        </w:rPr>
        <w:t xml:space="preserve">ection 55 of the Act. </w:t>
      </w:r>
    </w:p>
    <w:p w14:paraId="709AEE2F" w14:textId="51757536" w:rsidR="00EB3D14" w:rsidRPr="005B5AF7" w:rsidRDefault="00EB3D14" w:rsidP="0054788D">
      <w:pPr>
        <w:suppressAutoHyphens/>
        <w:jc w:val="both"/>
        <w:rPr>
          <w:szCs w:val="22"/>
        </w:rPr>
      </w:pPr>
      <w:r>
        <w:rPr>
          <w:szCs w:val="22"/>
        </w:rPr>
        <w:t xml:space="preserve">If mechanical restraint is used, it </w:t>
      </w:r>
      <w:r w:rsidRPr="005B5AF7">
        <w:rPr>
          <w:szCs w:val="22"/>
        </w:rPr>
        <w:t>will be used in a planned way as a last resort when</w:t>
      </w:r>
      <w:r w:rsidR="0010343F">
        <w:rPr>
          <w:szCs w:val="22"/>
        </w:rPr>
        <w:t xml:space="preserve"> other less restrictive practices have not been successful and th</w:t>
      </w:r>
      <w:r w:rsidR="00620BDA">
        <w:rPr>
          <w:szCs w:val="22"/>
        </w:rPr>
        <w:t>ere</w:t>
      </w:r>
      <w:r w:rsidR="0010343F">
        <w:rPr>
          <w:szCs w:val="22"/>
        </w:rPr>
        <w:t xml:space="preserve"> continues to be a </w:t>
      </w:r>
      <w:r w:rsidR="00854A2B">
        <w:rPr>
          <w:szCs w:val="22"/>
        </w:rPr>
        <w:t>risk to</w:t>
      </w:r>
      <w:r w:rsidRPr="005B5AF7">
        <w:rPr>
          <w:szCs w:val="22"/>
        </w:rPr>
        <w:t xml:space="preserve"> the safety of a person. This may include a planned approach to taking immediate control of a dangerous situation as a means to prevent harm to the client or others.</w:t>
      </w:r>
    </w:p>
    <w:p w14:paraId="453D367E" w14:textId="77777777" w:rsidR="00EB3D14" w:rsidRPr="005B5AF7" w:rsidRDefault="00EB3D14" w:rsidP="0054788D">
      <w:pPr>
        <w:suppressAutoHyphens/>
        <w:jc w:val="both"/>
        <w:rPr>
          <w:szCs w:val="22"/>
        </w:rPr>
      </w:pPr>
      <w:r w:rsidRPr="005B5AF7">
        <w:rPr>
          <w:szCs w:val="22"/>
        </w:rPr>
        <w:t>Risk assessment must be undertaken to determine probability and likely harm caused by behaviour as the decision to restrain a client is based upon achieving a balance between preventing physical and psychological harm to the person being restrained and maintaining a safe environment for clients, staff and others.</w:t>
      </w:r>
    </w:p>
    <w:p w14:paraId="038BA284" w14:textId="77777777" w:rsidR="00EB3D14" w:rsidRPr="005B5AF7" w:rsidRDefault="00EB3D14" w:rsidP="0054788D">
      <w:pPr>
        <w:suppressAutoHyphens/>
        <w:jc w:val="both"/>
        <w:rPr>
          <w:szCs w:val="22"/>
        </w:rPr>
      </w:pPr>
      <w:r w:rsidRPr="005B5AF7">
        <w:rPr>
          <w:szCs w:val="22"/>
        </w:rPr>
        <w:t>All risk assessments indicating the use of mechanical res</w:t>
      </w:r>
      <w:r>
        <w:rPr>
          <w:szCs w:val="22"/>
        </w:rPr>
        <w:t>traint must be reviewed by the Administrator</w:t>
      </w:r>
      <w:r w:rsidRPr="005B5AF7">
        <w:rPr>
          <w:szCs w:val="22"/>
        </w:rPr>
        <w:t>.</w:t>
      </w:r>
    </w:p>
    <w:p w14:paraId="04FAF38D" w14:textId="77777777" w:rsidR="00EB3D14" w:rsidRDefault="00EB3D14" w:rsidP="0054788D">
      <w:pPr>
        <w:suppressAutoHyphens/>
        <w:jc w:val="both"/>
        <w:rPr>
          <w:szCs w:val="22"/>
        </w:rPr>
      </w:pPr>
      <w:r w:rsidRPr="005B5AF7">
        <w:rPr>
          <w:szCs w:val="22"/>
        </w:rPr>
        <w:lastRenderedPageBreak/>
        <w:t xml:space="preserve">The </w:t>
      </w:r>
      <w:r>
        <w:rPr>
          <w:szCs w:val="22"/>
        </w:rPr>
        <w:t>Administrator</w:t>
      </w:r>
      <w:r w:rsidRPr="005B5AF7">
        <w:rPr>
          <w:szCs w:val="22"/>
        </w:rPr>
        <w:t xml:space="preserve"> </w:t>
      </w:r>
      <w:r w:rsidRPr="00D30798">
        <w:rPr>
          <w:szCs w:val="22"/>
        </w:rPr>
        <w:t>must</w:t>
      </w:r>
      <w:r w:rsidRPr="005B5AF7">
        <w:rPr>
          <w:szCs w:val="22"/>
        </w:rPr>
        <w:t xml:space="preserve"> notify the Director of Forensic Disability as soon as practicable if restraint is used.</w:t>
      </w:r>
    </w:p>
    <w:p w14:paraId="77C0EF0A" w14:textId="77D949C3" w:rsidR="00EB3D14" w:rsidRPr="00D30798" w:rsidRDefault="00EB3D14" w:rsidP="0054788D">
      <w:pPr>
        <w:pStyle w:val="Heading4"/>
        <w:numPr>
          <w:ilvl w:val="1"/>
          <w:numId w:val="21"/>
        </w:numPr>
        <w:jc w:val="both"/>
      </w:pPr>
      <w:r w:rsidRPr="005B5AF7">
        <w:t>Authorisation</w:t>
      </w:r>
    </w:p>
    <w:p w14:paraId="3F9F577B" w14:textId="77777777" w:rsidR="00EB3D14" w:rsidRPr="005B5AF7" w:rsidRDefault="00EB3D14" w:rsidP="0054788D">
      <w:pPr>
        <w:suppressAutoHyphens/>
        <w:jc w:val="both"/>
        <w:rPr>
          <w:szCs w:val="22"/>
        </w:rPr>
      </w:pPr>
      <w:r w:rsidRPr="005B5AF7">
        <w:rPr>
          <w:szCs w:val="22"/>
        </w:rPr>
        <w:t>Authorisation</w:t>
      </w:r>
      <w:r>
        <w:rPr>
          <w:szCs w:val="22"/>
        </w:rPr>
        <w:t xml:space="preserve"> of the use of </w:t>
      </w:r>
      <w:r w:rsidRPr="005B5AF7">
        <w:rPr>
          <w:szCs w:val="22"/>
        </w:rPr>
        <w:t xml:space="preserve">mechanical restraint can </w:t>
      </w:r>
      <w:r w:rsidRPr="00D30798">
        <w:rPr>
          <w:szCs w:val="22"/>
        </w:rPr>
        <w:t>only</w:t>
      </w:r>
      <w:r w:rsidRPr="005B5AF7">
        <w:rPr>
          <w:szCs w:val="22"/>
        </w:rPr>
        <w:t xml:space="preserve"> be given by the Director of Forensic Disability. </w:t>
      </w:r>
    </w:p>
    <w:p w14:paraId="1ACF19FE" w14:textId="77777777" w:rsidR="00EB3D14" w:rsidRPr="005B5AF7" w:rsidRDefault="00EB3D14" w:rsidP="0054788D">
      <w:pPr>
        <w:suppressAutoHyphens/>
        <w:jc w:val="both"/>
        <w:rPr>
          <w:szCs w:val="22"/>
        </w:rPr>
      </w:pPr>
      <w:r w:rsidRPr="005B5AF7">
        <w:rPr>
          <w:szCs w:val="22"/>
        </w:rPr>
        <w:t xml:space="preserve">A decision to authorise mechanical restraint </w:t>
      </w:r>
      <w:r w:rsidRPr="00D30798">
        <w:rPr>
          <w:szCs w:val="22"/>
        </w:rPr>
        <w:t xml:space="preserve">must </w:t>
      </w:r>
      <w:r w:rsidRPr="005B5AF7">
        <w:rPr>
          <w:szCs w:val="22"/>
        </w:rPr>
        <w:t xml:space="preserve">be based on a </w:t>
      </w:r>
      <w:r w:rsidRPr="00D30798">
        <w:rPr>
          <w:szCs w:val="22"/>
        </w:rPr>
        <w:t xml:space="preserve">comprehensive risk assessment </w:t>
      </w:r>
      <w:r w:rsidRPr="005B5AF7">
        <w:rPr>
          <w:szCs w:val="22"/>
        </w:rPr>
        <w:t xml:space="preserve">by a suitably qualified practitioner e.g. occupational therapist and/or psychologist. The assessment must demonstrate that less restrictive interventions have been considered and mechanical restraint is the only option in the present circumstances. </w:t>
      </w:r>
    </w:p>
    <w:p w14:paraId="1FBB827E" w14:textId="07A8939D" w:rsidR="00EB3D14" w:rsidRPr="005B5AF7" w:rsidRDefault="00EB3D14" w:rsidP="0054788D">
      <w:pPr>
        <w:suppressAutoHyphens/>
        <w:jc w:val="both"/>
        <w:rPr>
          <w:szCs w:val="22"/>
        </w:rPr>
      </w:pPr>
      <w:r w:rsidRPr="005B5AF7">
        <w:rPr>
          <w:szCs w:val="22"/>
        </w:rPr>
        <w:t xml:space="preserve">Mechanical restraint will only be authorised as a last resort and when all attempts </w:t>
      </w:r>
      <w:r>
        <w:rPr>
          <w:szCs w:val="22"/>
        </w:rPr>
        <w:t xml:space="preserve">to </w:t>
      </w:r>
      <w:r w:rsidR="005D1E4D">
        <w:rPr>
          <w:szCs w:val="22"/>
        </w:rPr>
        <w:t xml:space="preserve">reduce the risk </w:t>
      </w:r>
      <w:r w:rsidR="00866FF9">
        <w:rPr>
          <w:szCs w:val="22"/>
        </w:rPr>
        <w:t xml:space="preserve">have </w:t>
      </w:r>
      <w:r w:rsidR="00866FF9" w:rsidRPr="005B5AF7">
        <w:rPr>
          <w:szCs w:val="22"/>
        </w:rPr>
        <w:t>been</w:t>
      </w:r>
      <w:r w:rsidRPr="005B5AF7">
        <w:rPr>
          <w:szCs w:val="22"/>
        </w:rPr>
        <w:t xml:space="preserve"> unsuccessful and a risk continues to the safety of the person.</w:t>
      </w:r>
    </w:p>
    <w:p w14:paraId="7E4ACBA0" w14:textId="77777777" w:rsidR="00EB3D14" w:rsidRDefault="00EB3D14" w:rsidP="0054788D">
      <w:pPr>
        <w:suppressAutoHyphens/>
        <w:jc w:val="both"/>
        <w:rPr>
          <w:szCs w:val="22"/>
        </w:rPr>
      </w:pPr>
      <w:r w:rsidRPr="005B5AF7">
        <w:rPr>
          <w:szCs w:val="22"/>
        </w:rPr>
        <w:t xml:space="preserve">In authorising a </w:t>
      </w:r>
      <w:r>
        <w:rPr>
          <w:szCs w:val="22"/>
        </w:rPr>
        <w:t>Senior Practitioner</w:t>
      </w:r>
      <w:r w:rsidRPr="005B5AF7">
        <w:rPr>
          <w:szCs w:val="22"/>
        </w:rPr>
        <w:t xml:space="preserve"> or </w:t>
      </w:r>
      <w:r>
        <w:rPr>
          <w:szCs w:val="22"/>
        </w:rPr>
        <w:t>Authorised Practitioner</w:t>
      </w:r>
      <w:r w:rsidRPr="005B5AF7">
        <w:rPr>
          <w:szCs w:val="22"/>
        </w:rPr>
        <w:t xml:space="preserve"> to use mechanical restraint, the Director of Forensic Disability </w:t>
      </w:r>
      <w:r w:rsidRPr="00D30798">
        <w:rPr>
          <w:szCs w:val="22"/>
        </w:rPr>
        <w:t>must</w:t>
      </w:r>
      <w:r w:rsidRPr="005B5AF7">
        <w:rPr>
          <w:szCs w:val="22"/>
        </w:rPr>
        <w:t xml:space="preserve"> state the following information by written order:</w:t>
      </w:r>
    </w:p>
    <w:p w14:paraId="4717C179" w14:textId="0D8E2D9E" w:rsidR="00EB3D14" w:rsidRPr="005B5AF7" w:rsidRDefault="00967A5A" w:rsidP="0054788D">
      <w:pPr>
        <w:pStyle w:val="ListParagraph"/>
        <w:numPr>
          <w:ilvl w:val="0"/>
          <w:numId w:val="19"/>
        </w:numPr>
        <w:jc w:val="both"/>
      </w:pPr>
      <w:r>
        <w:t xml:space="preserve">the </w:t>
      </w:r>
      <w:r w:rsidR="00EB3D14" w:rsidRPr="005B5AF7">
        <w:t>type of restraint authorised to be used;</w:t>
      </w:r>
    </w:p>
    <w:p w14:paraId="7566224F" w14:textId="77777777" w:rsidR="00EB3D14" w:rsidRPr="005B5AF7" w:rsidRDefault="00EB3D14" w:rsidP="0054788D">
      <w:pPr>
        <w:pStyle w:val="ListParagraph"/>
        <w:numPr>
          <w:ilvl w:val="0"/>
          <w:numId w:val="19"/>
        </w:numPr>
        <w:jc w:val="both"/>
      </w:pPr>
      <w:r w:rsidRPr="005B5AF7">
        <w:t xml:space="preserve">the reason for the restraint; </w:t>
      </w:r>
    </w:p>
    <w:p w14:paraId="6A3F2B5B" w14:textId="77777777" w:rsidR="00EB3D14" w:rsidRPr="005B5AF7" w:rsidRDefault="00EB3D14" w:rsidP="0054788D">
      <w:pPr>
        <w:pStyle w:val="ListParagraph"/>
        <w:numPr>
          <w:ilvl w:val="0"/>
          <w:numId w:val="19"/>
        </w:numPr>
        <w:jc w:val="both"/>
      </w:pPr>
      <w:r w:rsidRPr="005B5AF7">
        <w:t>any restrictions on the circumstances for which the restraint may be applied;</w:t>
      </w:r>
    </w:p>
    <w:p w14:paraId="146F293D" w14:textId="77777777" w:rsidR="00EB3D14" w:rsidRPr="005B5AF7" w:rsidRDefault="00EB3D14" w:rsidP="0054788D">
      <w:pPr>
        <w:pStyle w:val="ListParagraph"/>
        <w:numPr>
          <w:ilvl w:val="0"/>
          <w:numId w:val="19"/>
        </w:numPr>
        <w:jc w:val="both"/>
      </w:pPr>
      <w:r w:rsidRPr="005B5AF7">
        <w:t>the maximum period or periods for which the restraint may be used (not longer than three hours after the order is made);</w:t>
      </w:r>
    </w:p>
    <w:p w14:paraId="078DC136" w14:textId="77777777" w:rsidR="00EB3D14" w:rsidRPr="005B5AF7" w:rsidRDefault="00EB3D14" w:rsidP="0054788D">
      <w:pPr>
        <w:pStyle w:val="ListParagraph"/>
        <w:numPr>
          <w:ilvl w:val="0"/>
          <w:numId w:val="19"/>
        </w:numPr>
        <w:jc w:val="both"/>
      </w:pPr>
      <w:r w:rsidRPr="005B5AF7">
        <w:t>the interval at which the client must be observed while the restraint is applied; and</w:t>
      </w:r>
    </w:p>
    <w:p w14:paraId="6439E2FF" w14:textId="77777777" w:rsidR="00EB3D14" w:rsidRPr="005B5AF7" w:rsidRDefault="00EB3D14" w:rsidP="0054788D">
      <w:pPr>
        <w:pStyle w:val="ListParagraph"/>
        <w:numPr>
          <w:ilvl w:val="0"/>
          <w:numId w:val="19"/>
        </w:numPr>
        <w:jc w:val="both"/>
      </w:pPr>
      <w:r w:rsidRPr="005B5AF7">
        <w:t>any special measures necessary to ensure the client’s proper care while the restraint is applied.</w:t>
      </w:r>
    </w:p>
    <w:p w14:paraId="1ED95F28" w14:textId="5986BDDF" w:rsidR="00EB3D14" w:rsidRPr="005B5AF7" w:rsidRDefault="00EB3D14" w:rsidP="0054788D">
      <w:pPr>
        <w:pStyle w:val="Heading4"/>
        <w:numPr>
          <w:ilvl w:val="1"/>
          <w:numId w:val="21"/>
        </w:numPr>
        <w:jc w:val="both"/>
      </w:pPr>
      <w:r w:rsidRPr="005B5AF7">
        <w:t xml:space="preserve">Obligations of the </w:t>
      </w:r>
      <w:r>
        <w:t>Senior Practitioner</w:t>
      </w:r>
      <w:r w:rsidRPr="005B5AF7">
        <w:t xml:space="preserve"> and </w:t>
      </w:r>
      <w:r>
        <w:t>Authorised Practitioner</w:t>
      </w:r>
    </w:p>
    <w:p w14:paraId="14243649" w14:textId="212EFDBD" w:rsidR="00EB3D14" w:rsidRDefault="00EB3D14" w:rsidP="0054788D">
      <w:pPr>
        <w:suppressAutoHyphens/>
        <w:jc w:val="both"/>
        <w:rPr>
          <w:szCs w:val="22"/>
        </w:rPr>
      </w:pPr>
      <w:r>
        <w:rPr>
          <w:szCs w:val="22"/>
        </w:rPr>
        <w:t>If the use of mechanical restraint is authorised by the Director of Forensic Disability, the Senior Practitioner</w:t>
      </w:r>
      <w:r w:rsidRPr="005B5AF7">
        <w:rPr>
          <w:szCs w:val="22"/>
        </w:rPr>
        <w:t xml:space="preserve"> or </w:t>
      </w:r>
      <w:r>
        <w:rPr>
          <w:szCs w:val="22"/>
        </w:rPr>
        <w:t>Authorised Practitioner</w:t>
      </w:r>
      <w:r w:rsidRPr="005B5AF7">
        <w:rPr>
          <w:szCs w:val="22"/>
        </w:rPr>
        <w:t xml:space="preserve"> </w:t>
      </w:r>
      <w:r w:rsidRPr="005B5AF7">
        <w:rPr>
          <w:b/>
          <w:szCs w:val="22"/>
        </w:rPr>
        <w:t>must</w:t>
      </w:r>
      <w:r w:rsidRPr="005B5AF7">
        <w:rPr>
          <w:szCs w:val="22"/>
        </w:rPr>
        <w:t>:</w:t>
      </w:r>
    </w:p>
    <w:p w14:paraId="4A8FAD96" w14:textId="77777777" w:rsidR="00EB3D14" w:rsidRPr="005B5AF7" w:rsidRDefault="00EB3D14" w:rsidP="0054788D">
      <w:pPr>
        <w:pStyle w:val="ListParagraph"/>
        <w:numPr>
          <w:ilvl w:val="1"/>
          <w:numId w:val="23"/>
        </w:numPr>
        <w:jc w:val="both"/>
      </w:pPr>
      <w:r>
        <w:t>u</w:t>
      </w:r>
      <w:r w:rsidRPr="005B5AF7">
        <w:t>se the</w:t>
      </w:r>
      <w:r>
        <w:t xml:space="preserve"> mechanical</w:t>
      </w:r>
      <w:r w:rsidRPr="005B5AF7">
        <w:t xml:space="preserve"> restraint</w:t>
      </w:r>
      <w:r>
        <w:t xml:space="preserve"> as</w:t>
      </w:r>
      <w:r w:rsidRPr="005B5AF7">
        <w:t xml:space="preserve"> authorised by the Director of Forensic Disability</w:t>
      </w:r>
      <w:r>
        <w:t>;</w:t>
      </w:r>
    </w:p>
    <w:p w14:paraId="05032817" w14:textId="77777777" w:rsidR="00EB3D14" w:rsidRDefault="00EB3D14" w:rsidP="0054788D">
      <w:pPr>
        <w:pStyle w:val="ListParagraph"/>
        <w:numPr>
          <w:ilvl w:val="1"/>
          <w:numId w:val="23"/>
        </w:numPr>
        <w:jc w:val="both"/>
      </w:pPr>
      <w:r>
        <w:t>e</w:t>
      </w:r>
      <w:r w:rsidRPr="005B5AF7">
        <w:t xml:space="preserve">nsure the reasonable needs of the client are met including: </w:t>
      </w:r>
    </w:p>
    <w:p w14:paraId="6525B09A" w14:textId="49DB0743" w:rsidR="00EB3D14" w:rsidRPr="005B5AF7" w:rsidRDefault="00EB3D14" w:rsidP="00866FF9">
      <w:pPr>
        <w:pStyle w:val="ListParagraph"/>
        <w:numPr>
          <w:ilvl w:val="2"/>
          <w:numId w:val="23"/>
        </w:numPr>
        <w:jc w:val="both"/>
      </w:pPr>
      <w:r w:rsidRPr="005B5AF7">
        <w:t>sufficient bedding and clothing;</w:t>
      </w:r>
    </w:p>
    <w:p w14:paraId="71F4F143" w14:textId="72B26AFB" w:rsidR="00EB3D14" w:rsidRPr="005B5AF7" w:rsidRDefault="00EB3D14" w:rsidP="00866FF9">
      <w:pPr>
        <w:pStyle w:val="ListParagraph"/>
        <w:numPr>
          <w:ilvl w:val="2"/>
          <w:numId w:val="23"/>
        </w:numPr>
        <w:jc w:val="both"/>
      </w:pPr>
      <w:r w:rsidRPr="005B5AF7">
        <w:t>sufficient food and fluids;</w:t>
      </w:r>
    </w:p>
    <w:p w14:paraId="5CD89811" w14:textId="41BF1F03" w:rsidR="00EB3D14" w:rsidRDefault="00EB3D14" w:rsidP="00866FF9">
      <w:pPr>
        <w:pStyle w:val="ListParagraph"/>
        <w:numPr>
          <w:ilvl w:val="2"/>
          <w:numId w:val="23"/>
        </w:numPr>
        <w:jc w:val="both"/>
      </w:pPr>
      <w:r w:rsidRPr="005B5AF7">
        <w:t>access to toilet facilities.</w:t>
      </w:r>
    </w:p>
    <w:p w14:paraId="7C4EA069" w14:textId="575D4BA0" w:rsidR="00EB3D14" w:rsidRPr="005B5AF7" w:rsidRDefault="00EB3D14" w:rsidP="0054788D">
      <w:pPr>
        <w:pStyle w:val="ListParagraph"/>
        <w:numPr>
          <w:ilvl w:val="1"/>
          <w:numId w:val="23"/>
        </w:numPr>
        <w:jc w:val="both"/>
      </w:pPr>
      <w:r>
        <w:t>e</w:t>
      </w:r>
      <w:r w:rsidRPr="005B5AF7">
        <w:t>nsure a copy of the Director’s written order is placed in the client’s file</w:t>
      </w:r>
      <w:r w:rsidR="005D1E4D">
        <w:t>;</w:t>
      </w:r>
      <w:r w:rsidRPr="005B5AF7">
        <w:t xml:space="preserve"> </w:t>
      </w:r>
    </w:p>
    <w:p w14:paraId="6F6CCCFC" w14:textId="312B2878" w:rsidR="00EB3D14" w:rsidRPr="005B5AF7" w:rsidRDefault="00EB3D14" w:rsidP="0054788D">
      <w:pPr>
        <w:pStyle w:val="ListParagraph"/>
        <w:numPr>
          <w:ilvl w:val="1"/>
          <w:numId w:val="23"/>
        </w:numPr>
        <w:jc w:val="both"/>
      </w:pPr>
      <w:r>
        <w:t>r</w:t>
      </w:r>
      <w:r w:rsidRPr="005B5AF7">
        <w:t>ecord the following details of the use of mechanical restraint in the client’s file:</w:t>
      </w:r>
    </w:p>
    <w:p w14:paraId="3C00CEAB" w14:textId="77777777" w:rsidR="00EB3D14" w:rsidRPr="005B5AF7" w:rsidRDefault="00EB3D14" w:rsidP="00866FF9">
      <w:pPr>
        <w:pStyle w:val="ListParagraph"/>
        <w:numPr>
          <w:ilvl w:val="2"/>
          <w:numId w:val="23"/>
        </w:numPr>
        <w:jc w:val="both"/>
      </w:pPr>
      <w:r w:rsidRPr="005B5AF7">
        <w:t>the type of restraint used;</w:t>
      </w:r>
    </w:p>
    <w:p w14:paraId="060537FD" w14:textId="77777777" w:rsidR="00EB3D14" w:rsidRPr="005B5AF7" w:rsidRDefault="00EB3D14" w:rsidP="00866FF9">
      <w:pPr>
        <w:pStyle w:val="ListParagraph"/>
        <w:numPr>
          <w:ilvl w:val="2"/>
          <w:numId w:val="23"/>
        </w:numPr>
        <w:jc w:val="both"/>
      </w:pPr>
      <w:r w:rsidRPr="005B5AF7">
        <w:t>if the Director’s order states any restriction on the circumstances in which the restraint may be used – the circumstances in which the restraint was used;</w:t>
      </w:r>
    </w:p>
    <w:p w14:paraId="11418B6D" w14:textId="77777777" w:rsidR="00EB3D14" w:rsidRPr="005B5AF7" w:rsidRDefault="00EB3D14" w:rsidP="00866FF9">
      <w:pPr>
        <w:pStyle w:val="ListParagraph"/>
        <w:numPr>
          <w:ilvl w:val="2"/>
          <w:numId w:val="23"/>
        </w:numPr>
        <w:jc w:val="both"/>
      </w:pPr>
      <w:r w:rsidRPr="005B5AF7">
        <w:t>the time the restraint was placed on the client and the time the restraint was removed from the client;</w:t>
      </w:r>
    </w:p>
    <w:p w14:paraId="1A8E9603" w14:textId="77777777" w:rsidR="00EB3D14" w:rsidRPr="005B5AF7" w:rsidRDefault="00EB3D14" w:rsidP="00866FF9">
      <w:pPr>
        <w:pStyle w:val="ListParagraph"/>
        <w:numPr>
          <w:ilvl w:val="2"/>
          <w:numId w:val="23"/>
        </w:numPr>
        <w:jc w:val="both"/>
      </w:pPr>
      <w:r w:rsidRPr="005B5AF7">
        <w:t xml:space="preserve">the person who placed the restraint on the client and who removed the restraint from the client;  </w:t>
      </w:r>
    </w:p>
    <w:p w14:paraId="6B1DBA84" w14:textId="77777777" w:rsidR="00EB3D14" w:rsidRPr="005B5AF7" w:rsidRDefault="00EB3D14" w:rsidP="00866FF9">
      <w:pPr>
        <w:pStyle w:val="ListParagraph"/>
        <w:numPr>
          <w:ilvl w:val="2"/>
          <w:numId w:val="23"/>
        </w:numPr>
        <w:jc w:val="both"/>
      </w:pPr>
      <w:r w:rsidRPr="005B5AF7">
        <w:t xml:space="preserve">the names of any other people present who witnessed the application of the </w:t>
      </w:r>
      <w:r>
        <w:t>restraint</w:t>
      </w:r>
      <w:r w:rsidRPr="005B5AF7">
        <w:t>.</w:t>
      </w:r>
    </w:p>
    <w:p w14:paraId="6E895A74" w14:textId="77777777" w:rsidR="00EB3D14" w:rsidRPr="005B5AF7" w:rsidRDefault="00EB3D14" w:rsidP="0054788D">
      <w:pPr>
        <w:pStyle w:val="ListParagraph"/>
        <w:numPr>
          <w:ilvl w:val="1"/>
          <w:numId w:val="23"/>
        </w:numPr>
        <w:jc w:val="both"/>
      </w:pPr>
      <w:r>
        <w:t>e</w:t>
      </w:r>
      <w:r w:rsidRPr="005B5AF7">
        <w:t>nter full details of the episode on the register of the use of regulated behaviour controls.</w:t>
      </w:r>
    </w:p>
    <w:p w14:paraId="4C3065CA" w14:textId="5AA88F2B" w:rsidR="00EB3D14" w:rsidRPr="00D30798" w:rsidRDefault="004C4523" w:rsidP="0054788D">
      <w:pPr>
        <w:pStyle w:val="Heading4"/>
        <w:numPr>
          <w:ilvl w:val="1"/>
          <w:numId w:val="21"/>
        </w:numPr>
        <w:jc w:val="both"/>
      </w:pPr>
      <w:r>
        <w:lastRenderedPageBreak/>
        <w:t>Removal of r</w:t>
      </w:r>
      <w:r w:rsidR="00EB3D14" w:rsidRPr="005B5AF7">
        <w:t>estraint</w:t>
      </w:r>
    </w:p>
    <w:p w14:paraId="77BDC8F3" w14:textId="77777777" w:rsidR="00EB3D14" w:rsidRPr="005B5AF7" w:rsidRDefault="00EB3D14" w:rsidP="0054788D">
      <w:pPr>
        <w:keepNext/>
        <w:keepLines/>
        <w:suppressAutoHyphens/>
        <w:spacing w:before="60" w:after="60"/>
        <w:jc w:val="both"/>
        <w:rPr>
          <w:szCs w:val="22"/>
        </w:rPr>
      </w:pPr>
      <w:r w:rsidRPr="005B5AF7">
        <w:rPr>
          <w:szCs w:val="22"/>
        </w:rPr>
        <w:t xml:space="preserve">A </w:t>
      </w:r>
      <w:r>
        <w:rPr>
          <w:szCs w:val="22"/>
        </w:rPr>
        <w:t xml:space="preserve">mechanical </w:t>
      </w:r>
      <w:r w:rsidRPr="005B5AF7">
        <w:rPr>
          <w:szCs w:val="22"/>
        </w:rPr>
        <w:t>restraint will be removed if:</w:t>
      </w:r>
    </w:p>
    <w:p w14:paraId="46D318EC" w14:textId="77777777" w:rsidR="00EB3D14" w:rsidRPr="005B5AF7" w:rsidRDefault="00EB3D14" w:rsidP="0054788D">
      <w:pPr>
        <w:pStyle w:val="ListParagraph"/>
        <w:numPr>
          <w:ilvl w:val="0"/>
          <w:numId w:val="19"/>
        </w:numPr>
        <w:jc w:val="both"/>
      </w:pPr>
      <w:r w:rsidRPr="005B5AF7">
        <w:t xml:space="preserve">a </w:t>
      </w:r>
      <w:r>
        <w:t>Senior Practitioner</w:t>
      </w:r>
      <w:r w:rsidRPr="005B5AF7">
        <w:t xml:space="preserve"> or </w:t>
      </w:r>
      <w:r>
        <w:t>Authorised Practitioner</w:t>
      </w:r>
      <w:r w:rsidRPr="005B5AF7">
        <w:t xml:space="preserve"> is satisfied the client can be safely cared for without the restraint before the period of authorisation ends;</w:t>
      </w:r>
      <w:r>
        <w:t xml:space="preserve"> or</w:t>
      </w:r>
    </w:p>
    <w:p w14:paraId="2B6FFF4F" w14:textId="77777777" w:rsidR="00EB3D14" w:rsidRDefault="00EB3D14" w:rsidP="0054788D">
      <w:pPr>
        <w:pStyle w:val="ListParagraph"/>
        <w:numPr>
          <w:ilvl w:val="0"/>
          <w:numId w:val="19"/>
        </w:numPr>
        <w:jc w:val="both"/>
      </w:pPr>
      <w:r w:rsidRPr="005B5AF7">
        <w:t xml:space="preserve">the Director of Forensic Disability orders a </w:t>
      </w:r>
      <w:r>
        <w:t>Senior Practitioner</w:t>
      </w:r>
      <w:r w:rsidRPr="005B5AF7">
        <w:t xml:space="preserve"> or </w:t>
      </w:r>
      <w:r>
        <w:t>Authorised Practitioner</w:t>
      </w:r>
      <w:r w:rsidRPr="005B5AF7">
        <w:t xml:space="preserve"> to remove the restraint.</w:t>
      </w:r>
    </w:p>
    <w:p w14:paraId="314A8C0E" w14:textId="0B6DB2EE" w:rsidR="00EB3D14" w:rsidRPr="00D30798" w:rsidRDefault="0054788D" w:rsidP="0054788D">
      <w:pPr>
        <w:pStyle w:val="Heading4"/>
        <w:numPr>
          <w:ilvl w:val="1"/>
          <w:numId w:val="21"/>
        </w:numPr>
        <w:jc w:val="both"/>
      </w:pPr>
      <w:r>
        <w:t>Safety c</w:t>
      </w:r>
      <w:r w:rsidR="00EB3D14" w:rsidRPr="005B5AF7">
        <w:t>onsiderations</w:t>
      </w:r>
    </w:p>
    <w:p w14:paraId="13EBCD34" w14:textId="77777777" w:rsidR="00EB3D14" w:rsidRPr="005B5AF7" w:rsidRDefault="00EB3D14" w:rsidP="0054788D">
      <w:pPr>
        <w:suppressAutoHyphens/>
        <w:jc w:val="both"/>
        <w:rPr>
          <w:szCs w:val="22"/>
        </w:rPr>
      </w:pPr>
      <w:r w:rsidRPr="005B5AF7">
        <w:rPr>
          <w:szCs w:val="22"/>
        </w:rPr>
        <w:t>Safety of the client must be considered at all times when applying and removing the</w:t>
      </w:r>
      <w:r>
        <w:rPr>
          <w:szCs w:val="22"/>
        </w:rPr>
        <w:t xml:space="preserve"> mechanical</w:t>
      </w:r>
      <w:r w:rsidRPr="005B5AF7">
        <w:rPr>
          <w:szCs w:val="22"/>
        </w:rPr>
        <w:t xml:space="preserve"> restraint and while the client is in the confines of the</w:t>
      </w:r>
      <w:r>
        <w:rPr>
          <w:szCs w:val="22"/>
        </w:rPr>
        <w:t xml:space="preserve"> mechanical</w:t>
      </w:r>
      <w:r w:rsidRPr="005B5AF7">
        <w:rPr>
          <w:szCs w:val="22"/>
        </w:rPr>
        <w:t xml:space="preserve"> restraint.</w:t>
      </w:r>
    </w:p>
    <w:p w14:paraId="2D3E7A79" w14:textId="77777777" w:rsidR="00EB3D14" w:rsidRPr="005B5AF7" w:rsidRDefault="00EB3D14" w:rsidP="0054788D">
      <w:pPr>
        <w:suppressAutoHyphens/>
        <w:jc w:val="both"/>
        <w:rPr>
          <w:szCs w:val="22"/>
        </w:rPr>
      </w:pPr>
      <w:r w:rsidRPr="005B5AF7">
        <w:rPr>
          <w:szCs w:val="22"/>
        </w:rPr>
        <w:t>When implementing the use of a mechanical restraint no more force than is necessary and reasonable may be used.</w:t>
      </w:r>
    </w:p>
    <w:p w14:paraId="37C63FB3" w14:textId="77777777" w:rsidR="00EB3D14" w:rsidRPr="005B5AF7" w:rsidRDefault="00EB3D14" w:rsidP="0054788D">
      <w:pPr>
        <w:suppressAutoHyphens/>
        <w:jc w:val="both"/>
        <w:rPr>
          <w:szCs w:val="22"/>
        </w:rPr>
      </w:pPr>
      <w:r w:rsidRPr="005B5AF7">
        <w:rPr>
          <w:szCs w:val="22"/>
        </w:rPr>
        <w:t>A minimum of a three-monthly maintenance program must be scheduled on all mechanical restraints to ensure the safety and integrity for use.</w:t>
      </w:r>
    </w:p>
    <w:p w14:paraId="043E89D7" w14:textId="77777777" w:rsidR="00EB3D14" w:rsidRDefault="00EB3D14" w:rsidP="0054788D">
      <w:pPr>
        <w:suppressAutoHyphens/>
        <w:jc w:val="both"/>
        <w:rPr>
          <w:szCs w:val="22"/>
        </w:rPr>
      </w:pPr>
      <w:r w:rsidRPr="005B5AF7">
        <w:rPr>
          <w:szCs w:val="22"/>
        </w:rPr>
        <w:t>Staff should only apply a mechanical restraint following training in the use and application of that restraint device.</w:t>
      </w:r>
    </w:p>
    <w:p w14:paraId="5EFC3A20" w14:textId="67A4BB54" w:rsidR="00EB3D14" w:rsidRPr="00A95EE0" w:rsidRDefault="00EB3D14" w:rsidP="0054788D">
      <w:pPr>
        <w:pStyle w:val="Heading4"/>
        <w:numPr>
          <w:ilvl w:val="1"/>
          <w:numId w:val="21"/>
        </w:numPr>
        <w:jc w:val="both"/>
      </w:pPr>
      <w:r w:rsidRPr="00A95EE0">
        <w:t>Register of Regulated Behaviour Controls</w:t>
      </w:r>
    </w:p>
    <w:p w14:paraId="0D4EB778" w14:textId="77777777" w:rsidR="00EB3D14" w:rsidRPr="005B5AF7" w:rsidRDefault="00EB3D14" w:rsidP="0054788D">
      <w:pPr>
        <w:suppressAutoHyphens/>
        <w:jc w:val="both"/>
        <w:rPr>
          <w:szCs w:val="22"/>
        </w:rPr>
      </w:pPr>
      <w:r w:rsidRPr="005B5AF7">
        <w:rPr>
          <w:szCs w:val="22"/>
        </w:rPr>
        <w:t xml:space="preserve">All use of mechanical restraint must be recorded as soon as practicable on the </w:t>
      </w:r>
      <w:r>
        <w:rPr>
          <w:szCs w:val="22"/>
        </w:rPr>
        <w:t>“R</w:t>
      </w:r>
      <w:r w:rsidRPr="005B5AF7">
        <w:rPr>
          <w:szCs w:val="22"/>
        </w:rPr>
        <w:t>egister of the use of regulated behaviour control</w:t>
      </w:r>
      <w:r>
        <w:rPr>
          <w:szCs w:val="22"/>
        </w:rPr>
        <w:t>s”</w:t>
      </w:r>
      <w:r w:rsidRPr="005B5AF7">
        <w:rPr>
          <w:szCs w:val="22"/>
        </w:rPr>
        <w:t>.</w:t>
      </w:r>
    </w:p>
    <w:p w14:paraId="5762AA08" w14:textId="49B0E9D2" w:rsidR="00861193" w:rsidRPr="00B966AD" w:rsidRDefault="00861193" w:rsidP="00861193">
      <w:pPr>
        <w:tabs>
          <w:tab w:val="left" w:pos="2552"/>
        </w:tabs>
        <w:spacing w:before="360"/>
      </w:pPr>
      <w:r w:rsidRPr="00B966AD">
        <w:rPr>
          <w:b/>
        </w:rPr>
        <w:t>Date of approval:</w:t>
      </w:r>
      <w:r w:rsidR="00F17083">
        <w:tab/>
      </w:r>
      <w:r w:rsidR="00ED5F6B">
        <w:t>09 January</w:t>
      </w:r>
      <w:r w:rsidR="00ED5F6B" w:rsidRPr="00B966AD">
        <w:t xml:space="preserve"> 202</w:t>
      </w:r>
      <w:r w:rsidR="00ED5F6B">
        <w:t>3</w:t>
      </w:r>
    </w:p>
    <w:p w14:paraId="7F21D20A" w14:textId="30874FE9" w:rsidR="00861193" w:rsidRPr="00B966AD" w:rsidRDefault="00861193" w:rsidP="00861193">
      <w:pPr>
        <w:tabs>
          <w:tab w:val="left" w:pos="2552"/>
        </w:tabs>
      </w:pPr>
      <w:r w:rsidRPr="00B966AD">
        <w:rPr>
          <w:b/>
        </w:rPr>
        <w:t>Date of operation:</w:t>
      </w:r>
      <w:r>
        <w:tab/>
      </w:r>
      <w:r w:rsidR="00ED5F6B">
        <w:t>01 February</w:t>
      </w:r>
      <w:r w:rsidR="00ED5F6B" w:rsidRPr="00B966AD">
        <w:t xml:space="preserve"> 202</w:t>
      </w:r>
      <w:r w:rsidR="00ED5F6B">
        <w:t>3</w:t>
      </w:r>
    </w:p>
    <w:p w14:paraId="4F83C15E" w14:textId="0316223D" w:rsidR="00861193" w:rsidRPr="00B966AD" w:rsidRDefault="00861193" w:rsidP="00861193">
      <w:pPr>
        <w:pBdr>
          <w:bottom w:val="single" w:sz="6" w:space="1" w:color="auto"/>
        </w:pBdr>
        <w:tabs>
          <w:tab w:val="left" w:pos="2552"/>
        </w:tabs>
      </w:pPr>
      <w:r w:rsidRPr="00B966AD">
        <w:rPr>
          <w:b/>
        </w:rPr>
        <w:t>Date to be reviewed:</w:t>
      </w:r>
      <w:r w:rsidRPr="00B966AD">
        <w:tab/>
      </w:r>
      <w:r w:rsidR="00ED5F6B">
        <w:t>01</w:t>
      </w:r>
      <w:r w:rsidR="00AC2ED5" w:rsidRPr="00B966AD">
        <w:t xml:space="preserve"> </w:t>
      </w:r>
      <w:r w:rsidR="00ED5F6B">
        <w:t>February</w:t>
      </w:r>
      <w:r w:rsidR="00ED5F6B" w:rsidRPr="00B966AD">
        <w:t xml:space="preserve"> </w:t>
      </w:r>
      <w:r w:rsidRPr="00B966AD">
        <w:t>202</w:t>
      </w:r>
      <w:r w:rsidR="002C352C">
        <w:t>6</w:t>
      </w:r>
    </w:p>
    <w:p w14:paraId="0C9E172E" w14:textId="311F10AB" w:rsidR="00861193" w:rsidRPr="00B966AD" w:rsidRDefault="002C352C" w:rsidP="00861193">
      <w:pPr>
        <w:tabs>
          <w:tab w:val="left" w:pos="2552"/>
        </w:tabs>
      </w:pPr>
      <w:r>
        <w:rPr>
          <w:b/>
        </w:rPr>
        <w:t>Designation</w:t>
      </w:r>
      <w:r w:rsidR="00861193" w:rsidRPr="00B966AD">
        <w:rPr>
          <w:b/>
        </w:rPr>
        <w:t>:</w:t>
      </w:r>
      <w:r w:rsidR="00861193" w:rsidRPr="00B966AD">
        <w:tab/>
        <w:t>Director of Forensic Disability</w:t>
      </w:r>
    </w:p>
    <w:p w14:paraId="27EC05FF" w14:textId="524260C7" w:rsidR="00861193" w:rsidRPr="00B966AD" w:rsidRDefault="00861193" w:rsidP="00861193">
      <w:pPr>
        <w:pBdr>
          <w:bottom w:val="single" w:sz="6" w:space="1" w:color="auto"/>
        </w:pBdr>
        <w:tabs>
          <w:tab w:val="left" w:pos="2552"/>
        </w:tabs>
      </w:pPr>
      <w:r w:rsidRPr="00B966AD">
        <w:rPr>
          <w:b/>
        </w:rPr>
        <w:t>Help Contact:</w:t>
      </w:r>
      <w:r w:rsidRPr="00B966AD">
        <w:tab/>
      </w:r>
      <w:hyperlink r:id="rId8" w:history="1">
        <w:r w:rsidR="002C352C">
          <w:rPr>
            <w:color w:val="0000FF" w:themeColor="hyperlink"/>
            <w:u w:val="single"/>
          </w:rPr>
          <w:t>directorforensicdisability@dsdsatsip.qld.gov.au</w:t>
        </w:r>
      </w:hyperlink>
    </w:p>
    <w:p w14:paraId="24AEC9A7" w14:textId="77777777" w:rsidR="00861193" w:rsidRPr="00B966AD" w:rsidRDefault="00861193" w:rsidP="00861193">
      <w:r w:rsidRPr="00B966AD">
        <w:rPr>
          <w:bCs/>
          <w:sz w:val="24"/>
        </w:rPr>
        <w:t>Jenny Lynas</w:t>
      </w:r>
      <w:r w:rsidRPr="00B966AD">
        <w:rPr>
          <w:bCs/>
          <w:sz w:val="24"/>
        </w:rPr>
        <w:br/>
        <w:t>Director of Forensic Disability</w:t>
      </w:r>
    </w:p>
    <w:p w14:paraId="3140DA10" w14:textId="77777777" w:rsidR="00A72C57" w:rsidRPr="00A72C57" w:rsidRDefault="00A72C57" w:rsidP="00A72C57">
      <w:pPr>
        <w:rPr>
          <w:lang w:val="en-US"/>
        </w:rPr>
      </w:pPr>
    </w:p>
    <w:sectPr w:rsidR="00A72C57" w:rsidRPr="00A72C57" w:rsidSect="00861193">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0B06EF" w:rsidRDefault="000B06EF">
      <w:r>
        <w:separator/>
      </w:r>
    </w:p>
  </w:endnote>
  <w:endnote w:type="continuationSeparator" w:id="0">
    <w:p w14:paraId="61D85089" w14:textId="77777777" w:rsidR="000B06EF" w:rsidRDefault="000B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4815281" w14:textId="77777777" w:rsidR="000B06EF" w:rsidRDefault="000B06EF">
        <w:pPr>
          <w:pStyle w:val="Footer"/>
          <w:jc w:val="right"/>
        </w:pPr>
        <w:r>
          <w:fldChar w:fldCharType="begin"/>
        </w:r>
        <w:r>
          <w:instrText xml:space="preserve"> PAGE   \* MERGEFORMAT </w:instrText>
        </w:r>
        <w:r>
          <w:fldChar w:fldCharType="separate"/>
        </w:r>
        <w:r w:rsidR="00A31B38">
          <w:rPr>
            <w:noProof/>
          </w:rPr>
          <w:t>2</w:t>
        </w:r>
        <w:r>
          <w:rPr>
            <w:noProof/>
          </w:rPr>
          <w:fldChar w:fldCharType="end"/>
        </w:r>
      </w:p>
    </w:sdtContent>
  </w:sdt>
  <w:p w14:paraId="1046F1F6" w14:textId="77777777" w:rsidR="000B06EF" w:rsidRDefault="000B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744A0E70" w14:textId="77777777" w:rsidR="000B06EF" w:rsidRDefault="000B06EF">
        <w:pPr>
          <w:pStyle w:val="Footer"/>
          <w:jc w:val="right"/>
        </w:pPr>
        <w:r>
          <w:t>1</w:t>
        </w:r>
      </w:p>
    </w:sdtContent>
  </w:sdt>
  <w:p w14:paraId="5818DE10" w14:textId="77777777" w:rsidR="000B06EF" w:rsidRDefault="000B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0B06EF" w:rsidRDefault="000B06EF">
      <w:r>
        <w:separator/>
      </w:r>
    </w:p>
  </w:footnote>
  <w:footnote w:type="continuationSeparator" w:id="0">
    <w:p w14:paraId="2110855A" w14:textId="77777777" w:rsidR="000B06EF" w:rsidRDefault="000B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01E" w14:textId="77777777" w:rsidR="000B06EF" w:rsidRDefault="000B06EF">
    <w:pPr>
      <w:pStyle w:val="Header"/>
    </w:pPr>
    <w:r>
      <w:rPr>
        <w:noProof/>
      </w:rPr>
      <w:drawing>
        <wp:anchor distT="0" distB="0" distL="114300" distR="114300" simplePos="0" relativeHeight="251662336" behindDoc="1" locked="0" layoutInCell="1" allowOverlap="1" wp14:anchorId="60FF5517" wp14:editId="3E7043D3">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C0B" w14:textId="77777777" w:rsidR="000B06EF" w:rsidRDefault="000B06EF">
    <w:pPr>
      <w:pStyle w:val="Header"/>
    </w:pPr>
    <w:r>
      <w:rPr>
        <w:noProof/>
      </w:rPr>
      <w:drawing>
        <wp:anchor distT="0" distB="0" distL="114300" distR="114300" simplePos="0" relativeHeight="251661312" behindDoc="0" locked="0" layoutInCell="1" allowOverlap="1" wp14:anchorId="73E6C1C7" wp14:editId="76A4DE1C">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426"/>
    <w:multiLevelType w:val="multilevel"/>
    <w:tmpl w:val="8B5AA81E"/>
    <w:lvl w:ilvl="0">
      <w:start w:val="3"/>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3562E"/>
    <w:multiLevelType w:val="hybridMultilevel"/>
    <w:tmpl w:val="B3C06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0383F"/>
    <w:multiLevelType w:val="multilevel"/>
    <w:tmpl w:val="359C11BE"/>
    <w:lvl w:ilvl="0">
      <w:start w:val="1"/>
      <w:numFmt w:val="decimal"/>
      <w:lvlText w:val="%1."/>
      <w:lvlJc w:val="left"/>
      <w:pPr>
        <w:ind w:left="482" w:hanging="482"/>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F891E7B"/>
    <w:multiLevelType w:val="hybridMultilevel"/>
    <w:tmpl w:val="1D5E26DC"/>
    <w:lvl w:ilvl="0" w:tplc="8954F570">
      <w:start w:val="1"/>
      <w:numFmt w:val="bullet"/>
      <w:lvlText w:val=""/>
      <w:lvlJc w:val="left"/>
      <w:pPr>
        <w:ind w:left="136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1702ECC"/>
    <w:multiLevelType w:val="hybridMultilevel"/>
    <w:tmpl w:val="F724B274"/>
    <w:lvl w:ilvl="0" w:tplc="3A925568">
      <w:start w:val="1"/>
      <w:numFmt w:val="lowerLetter"/>
      <w:lvlText w:val="%1)"/>
      <w:lvlJc w:val="left"/>
      <w:pPr>
        <w:ind w:left="646" w:hanging="362"/>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29A4E39"/>
    <w:multiLevelType w:val="hybridMultilevel"/>
    <w:tmpl w:val="61E613CA"/>
    <w:lvl w:ilvl="0" w:tplc="1C180994">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2D05C09"/>
    <w:multiLevelType w:val="multilevel"/>
    <w:tmpl w:val="589CC6D8"/>
    <w:lvl w:ilvl="0">
      <w:start w:val="4"/>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E51E8A"/>
    <w:multiLevelType w:val="hybridMultilevel"/>
    <w:tmpl w:val="2B140BA8"/>
    <w:lvl w:ilvl="0" w:tplc="CBB2EA6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9C84D29"/>
    <w:multiLevelType w:val="hybridMultilevel"/>
    <w:tmpl w:val="E3282494"/>
    <w:lvl w:ilvl="0" w:tplc="1C180994">
      <w:start w:val="1"/>
      <w:numFmt w:val="bullet"/>
      <w:lvlText w:val=""/>
      <w:lvlJc w:val="left"/>
      <w:pPr>
        <w:tabs>
          <w:tab w:val="num" w:pos="927"/>
        </w:tabs>
        <w:ind w:left="927" w:hanging="360"/>
      </w:pPr>
      <w:rPr>
        <w:rFonts w:ascii="Symbol" w:hAnsi="Symbol" w:hint="default"/>
      </w:rPr>
    </w:lvl>
    <w:lvl w:ilvl="1" w:tplc="1C180994">
      <w:start w:val="1"/>
      <w:numFmt w:val="bullet"/>
      <w:lvlText w:val=""/>
      <w:lvlJc w:val="left"/>
      <w:pPr>
        <w:tabs>
          <w:tab w:val="num" w:pos="1647"/>
        </w:tabs>
        <w:ind w:left="1647" w:hanging="360"/>
      </w:pPr>
      <w:rPr>
        <w:rFonts w:ascii="Symbol" w:hAnsi="Symbol" w:hint="default"/>
      </w:r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15:restartNumberingAfterBreak="0">
    <w:nsid w:val="1B96130F"/>
    <w:multiLevelType w:val="hybridMultilevel"/>
    <w:tmpl w:val="BEA6A22C"/>
    <w:lvl w:ilvl="0" w:tplc="1C1809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317A8"/>
    <w:multiLevelType w:val="hybridMultilevel"/>
    <w:tmpl w:val="5F1C0A1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964C5A"/>
    <w:multiLevelType w:val="hybridMultilevel"/>
    <w:tmpl w:val="C798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707B50"/>
    <w:multiLevelType w:val="hybridMultilevel"/>
    <w:tmpl w:val="950A4A8E"/>
    <w:lvl w:ilvl="0" w:tplc="6DACCF70">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6CA02E4"/>
    <w:multiLevelType w:val="hybridMultilevel"/>
    <w:tmpl w:val="A950011A"/>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A925DD7"/>
    <w:multiLevelType w:val="hybridMultilevel"/>
    <w:tmpl w:val="8CD6554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B5220ED"/>
    <w:multiLevelType w:val="hybridMultilevel"/>
    <w:tmpl w:val="A4BEB1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CDF2803"/>
    <w:multiLevelType w:val="multilevel"/>
    <w:tmpl w:val="EBE68C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737BD1"/>
    <w:multiLevelType w:val="multilevel"/>
    <w:tmpl w:val="7C7C40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13B6FA0"/>
    <w:multiLevelType w:val="hybridMultilevel"/>
    <w:tmpl w:val="99D036DA"/>
    <w:lvl w:ilvl="0" w:tplc="0C090001">
      <w:start w:val="1"/>
      <w:numFmt w:val="bullet"/>
      <w:lvlText w:val=""/>
      <w:lvlJc w:val="left"/>
      <w:pPr>
        <w:ind w:left="2160" w:hanging="360"/>
      </w:pPr>
      <w:rPr>
        <w:rFonts w:ascii="Symbol" w:hAnsi="Symbol" w:hint="default"/>
      </w:rPr>
    </w:lvl>
    <w:lvl w:ilvl="1" w:tplc="8954F570">
      <w:start w:val="1"/>
      <w:numFmt w:val="bullet"/>
      <w:lvlText w:val=""/>
      <w:lvlJc w:val="left"/>
      <w:pPr>
        <w:ind w:left="644" w:hanging="360"/>
      </w:pPr>
      <w:rPr>
        <w:rFonts w:ascii="Symbol" w:hAnsi="Symbol" w:hint="default"/>
      </w:rPr>
    </w:lvl>
    <w:lvl w:ilvl="2" w:tplc="CD78F2D4">
      <w:numFmt w:val="bullet"/>
      <w:lvlText w:val="-"/>
      <w:lvlJc w:val="left"/>
      <w:pPr>
        <w:ind w:left="1353" w:hanging="360"/>
      </w:pPr>
      <w:rPr>
        <w:rFonts w:ascii="Calibri" w:eastAsiaTheme="minorHAnsi" w:hAnsi="Calibri" w:cs="Calibri"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5EE36CA"/>
    <w:multiLevelType w:val="multilevel"/>
    <w:tmpl w:val="288E37BC"/>
    <w:lvl w:ilvl="0">
      <w:start w:val="1"/>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DB320C"/>
    <w:multiLevelType w:val="hybridMultilevel"/>
    <w:tmpl w:val="375413A0"/>
    <w:lvl w:ilvl="0" w:tplc="0C090001">
      <w:start w:val="1"/>
      <w:numFmt w:val="bullet"/>
      <w:lvlText w:val=""/>
      <w:lvlJc w:val="left"/>
      <w:pPr>
        <w:tabs>
          <w:tab w:val="num" w:pos="720"/>
        </w:tabs>
        <w:ind w:left="720" w:hanging="360"/>
      </w:pPr>
      <w:rPr>
        <w:rFonts w:ascii="Symbol" w:hAnsi="Symbol" w:hint="default"/>
      </w:rPr>
    </w:lvl>
    <w:lvl w:ilvl="1" w:tplc="1C180994">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B3515FE"/>
    <w:multiLevelType w:val="hybridMultilevel"/>
    <w:tmpl w:val="EEFCEBE0"/>
    <w:lvl w:ilvl="0" w:tplc="0C090001">
      <w:start w:val="1"/>
      <w:numFmt w:val="bullet"/>
      <w:lvlText w:val=""/>
      <w:lvlJc w:val="left"/>
      <w:pPr>
        <w:tabs>
          <w:tab w:val="num" w:pos="2988"/>
        </w:tabs>
        <w:ind w:left="2988" w:hanging="360"/>
      </w:pPr>
      <w:rPr>
        <w:rFonts w:ascii="Symbol" w:hAnsi="Symbol" w:hint="default"/>
      </w:rPr>
    </w:lvl>
    <w:lvl w:ilvl="1" w:tplc="0C090019">
      <w:start w:val="1"/>
      <w:numFmt w:val="lowerLetter"/>
      <w:lvlText w:val="%2."/>
      <w:lvlJc w:val="left"/>
      <w:pPr>
        <w:tabs>
          <w:tab w:val="num" w:pos="3708"/>
        </w:tabs>
        <w:ind w:left="3708" w:hanging="360"/>
      </w:pPr>
    </w:lvl>
    <w:lvl w:ilvl="2" w:tplc="0C09001B">
      <w:start w:val="1"/>
      <w:numFmt w:val="lowerRoman"/>
      <w:lvlText w:val="%3."/>
      <w:lvlJc w:val="right"/>
      <w:pPr>
        <w:tabs>
          <w:tab w:val="num" w:pos="4428"/>
        </w:tabs>
        <w:ind w:left="4428" w:hanging="180"/>
      </w:pPr>
    </w:lvl>
    <w:lvl w:ilvl="3" w:tplc="0C09000F" w:tentative="1">
      <w:start w:val="1"/>
      <w:numFmt w:val="decimal"/>
      <w:lvlText w:val="%4."/>
      <w:lvlJc w:val="left"/>
      <w:pPr>
        <w:tabs>
          <w:tab w:val="num" w:pos="5148"/>
        </w:tabs>
        <w:ind w:left="5148" w:hanging="360"/>
      </w:pPr>
    </w:lvl>
    <w:lvl w:ilvl="4" w:tplc="0C090019" w:tentative="1">
      <w:start w:val="1"/>
      <w:numFmt w:val="lowerLetter"/>
      <w:lvlText w:val="%5."/>
      <w:lvlJc w:val="left"/>
      <w:pPr>
        <w:tabs>
          <w:tab w:val="num" w:pos="5868"/>
        </w:tabs>
        <w:ind w:left="5868" w:hanging="360"/>
      </w:pPr>
    </w:lvl>
    <w:lvl w:ilvl="5" w:tplc="0C09001B" w:tentative="1">
      <w:start w:val="1"/>
      <w:numFmt w:val="lowerRoman"/>
      <w:lvlText w:val="%6."/>
      <w:lvlJc w:val="right"/>
      <w:pPr>
        <w:tabs>
          <w:tab w:val="num" w:pos="6588"/>
        </w:tabs>
        <w:ind w:left="6588" w:hanging="180"/>
      </w:pPr>
    </w:lvl>
    <w:lvl w:ilvl="6" w:tplc="0C09000F" w:tentative="1">
      <w:start w:val="1"/>
      <w:numFmt w:val="decimal"/>
      <w:lvlText w:val="%7."/>
      <w:lvlJc w:val="left"/>
      <w:pPr>
        <w:tabs>
          <w:tab w:val="num" w:pos="7308"/>
        </w:tabs>
        <w:ind w:left="7308" w:hanging="360"/>
      </w:pPr>
    </w:lvl>
    <w:lvl w:ilvl="7" w:tplc="0C090019" w:tentative="1">
      <w:start w:val="1"/>
      <w:numFmt w:val="lowerLetter"/>
      <w:lvlText w:val="%8."/>
      <w:lvlJc w:val="left"/>
      <w:pPr>
        <w:tabs>
          <w:tab w:val="num" w:pos="8028"/>
        </w:tabs>
        <w:ind w:left="8028" w:hanging="360"/>
      </w:pPr>
    </w:lvl>
    <w:lvl w:ilvl="8" w:tplc="0C09001B" w:tentative="1">
      <w:start w:val="1"/>
      <w:numFmt w:val="lowerRoman"/>
      <w:lvlText w:val="%9."/>
      <w:lvlJc w:val="right"/>
      <w:pPr>
        <w:tabs>
          <w:tab w:val="num" w:pos="8748"/>
        </w:tabs>
        <w:ind w:left="8748" w:hanging="180"/>
      </w:pPr>
    </w:lvl>
  </w:abstractNum>
  <w:abstractNum w:abstractNumId="22" w15:restartNumberingAfterBreak="0">
    <w:nsid w:val="71936076"/>
    <w:multiLevelType w:val="multilevel"/>
    <w:tmpl w:val="359C11BE"/>
    <w:lvl w:ilvl="0">
      <w:start w:val="1"/>
      <w:numFmt w:val="decimal"/>
      <w:lvlText w:val="%1."/>
      <w:lvlJc w:val="left"/>
      <w:pPr>
        <w:ind w:left="482" w:hanging="482"/>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7A916AC1"/>
    <w:multiLevelType w:val="hybridMultilevel"/>
    <w:tmpl w:val="618E0F4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12"/>
  </w:num>
  <w:num w:numId="4">
    <w:abstractNumId w:val="0"/>
  </w:num>
  <w:num w:numId="5">
    <w:abstractNumId w:val="6"/>
  </w:num>
  <w:num w:numId="6">
    <w:abstractNumId w:val="21"/>
  </w:num>
  <w:num w:numId="7">
    <w:abstractNumId w:val="13"/>
  </w:num>
  <w:num w:numId="8">
    <w:abstractNumId w:val="14"/>
  </w:num>
  <w:num w:numId="9">
    <w:abstractNumId w:val="20"/>
  </w:num>
  <w:num w:numId="10">
    <w:abstractNumId w:val="10"/>
  </w:num>
  <w:num w:numId="11">
    <w:abstractNumId w:val="11"/>
  </w:num>
  <w:num w:numId="12">
    <w:abstractNumId w:val="1"/>
  </w:num>
  <w:num w:numId="13">
    <w:abstractNumId w:val="23"/>
  </w:num>
  <w:num w:numId="14">
    <w:abstractNumId w:val="17"/>
  </w:num>
  <w:num w:numId="15">
    <w:abstractNumId w:val="16"/>
  </w:num>
  <w:num w:numId="16">
    <w:abstractNumId w:val="5"/>
  </w:num>
  <w:num w:numId="17">
    <w:abstractNumId w:val="8"/>
  </w:num>
  <w:num w:numId="18">
    <w:abstractNumId w:val="9"/>
  </w:num>
  <w:num w:numId="19">
    <w:abstractNumId w:val="7"/>
  </w:num>
  <w:num w:numId="20">
    <w:abstractNumId w:val="2"/>
  </w:num>
  <w:num w:numId="21">
    <w:abstractNumId w:val="19"/>
  </w:num>
  <w:num w:numId="22">
    <w:abstractNumId w:val="15"/>
  </w:num>
  <w:num w:numId="23">
    <w:abstractNumId w:val="18"/>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175"/>
    <w:rsid w:val="000A1A2A"/>
    <w:rsid w:val="000A38B5"/>
    <w:rsid w:val="000A4A30"/>
    <w:rsid w:val="000A5675"/>
    <w:rsid w:val="000A627A"/>
    <w:rsid w:val="000A6BEA"/>
    <w:rsid w:val="000A6DA1"/>
    <w:rsid w:val="000A7406"/>
    <w:rsid w:val="000A7FE5"/>
    <w:rsid w:val="000B06EF"/>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193B"/>
    <w:rsid w:val="00102380"/>
    <w:rsid w:val="001023B6"/>
    <w:rsid w:val="0010343F"/>
    <w:rsid w:val="00103554"/>
    <w:rsid w:val="00103E62"/>
    <w:rsid w:val="0010628E"/>
    <w:rsid w:val="00106CAC"/>
    <w:rsid w:val="0011106E"/>
    <w:rsid w:val="00113485"/>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36923"/>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215B"/>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0ED8"/>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52C"/>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F9A"/>
    <w:rsid w:val="00382067"/>
    <w:rsid w:val="00382412"/>
    <w:rsid w:val="00382980"/>
    <w:rsid w:val="00382DC4"/>
    <w:rsid w:val="00383517"/>
    <w:rsid w:val="0038399A"/>
    <w:rsid w:val="003839CF"/>
    <w:rsid w:val="00385392"/>
    <w:rsid w:val="00386445"/>
    <w:rsid w:val="00387977"/>
    <w:rsid w:val="00387E72"/>
    <w:rsid w:val="003901E0"/>
    <w:rsid w:val="00390F37"/>
    <w:rsid w:val="00393B3D"/>
    <w:rsid w:val="00393B64"/>
    <w:rsid w:val="00394A26"/>
    <w:rsid w:val="00394CE2"/>
    <w:rsid w:val="003975E5"/>
    <w:rsid w:val="003A080A"/>
    <w:rsid w:val="003A0968"/>
    <w:rsid w:val="003A0C94"/>
    <w:rsid w:val="003A2839"/>
    <w:rsid w:val="003A2B7C"/>
    <w:rsid w:val="003A37BE"/>
    <w:rsid w:val="003A3B06"/>
    <w:rsid w:val="003A3F07"/>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4D6"/>
    <w:rsid w:val="003C558F"/>
    <w:rsid w:val="003C62C9"/>
    <w:rsid w:val="003D25AA"/>
    <w:rsid w:val="003D3801"/>
    <w:rsid w:val="003D5897"/>
    <w:rsid w:val="003D5A21"/>
    <w:rsid w:val="003D64FB"/>
    <w:rsid w:val="003D6598"/>
    <w:rsid w:val="003D6890"/>
    <w:rsid w:val="003D7AC8"/>
    <w:rsid w:val="003D7D2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22"/>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4523"/>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88D"/>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0E5C"/>
    <w:rsid w:val="005C36AF"/>
    <w:rsid w:val="005C3877"/>
    <w:rsid w:val="005C6478"/>
    <w:rsid w:val="005C6D12"/>
    <w:rsid w:val="005C6E87"/>
    <w:rsid w:val="005D1221"/>
    <w:rsid w:val="005D1E4D"/>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0BDA"/>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1EEB"/>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3DA4"/>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4A2B"/>
    <w:rsid w:val="00856342"/>
    <w:rsid w:val="00856C90"/>
    <w:rsid w:val="008572A0"/>
    <w:rsid w:val="00860218"/>
    <w:rsid w:val="00860267"/>
    <w:rsid w:val="00860B28"/>
    <w:rsid w:val="00861193"/>
    <w:rsid w:val="0086202D"/>
    <w:rsid w:val="00863899"/>
    <w:rsid w:val="008639A2"/>
    <w:rsid w:val="00866FF9"/>
    <w:rsid w:val="0086739B"/>
    <w:rsid w:val="008675B4"/>
    <w:rsid w:val="00870796"/>
    <w:rsid w:val="00871110"/>
    <w:rsid w:val="00872CD3"/>
    <w:rsid w:val="0087325B"/>
    <w:rsid w:val="0087587B"/>
    <w:rsid w:val="00875BDF"/>
    <w:rsid w:val="008765E5"/>
    <w:rsid w:val="00880216"/>
    <w:rsid w:val="00880E55"/>
    <w:rsid w:val="008815F0"/>
    <w:rsid w:val="00881E63"/>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203"/>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43E"/>
    <w:rsid w:val="009127D5"/>
    <w:rsid w:val="009135D9"/>
    <w:rsid w:val="00915B01"/>
    <w:rsid w:val="00915B9A"/>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5A"/>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2B2B"/>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1B38"/>
    <w:rsid w:val="00A32E6B"/>
    <w:rsid w:val="00A364D6"/>
    <w:rsid w:val="00A40622"/>
    <w:rsid w:val="00A456C5"/>
    <w:rsid w:val="00A45B77"/>
    <w:rsid w:val="00A45BEB"/>
    <w:rsid w:val="00A46992"/>
    <w:rsid w:val="00A50BCC"/>
    <w:rsid w:val="00A51E82"/>
    <w:rsid w:val="00A522BC"/>
    <w:rsid w:val="00A5248E"/>
    <w:rsid w:val="00A52E07"/>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AE7"/>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2ED5"/>
    <w:rsid w:val="00AC3433"/>
    <w:rsid w:val="00AC676F"/>
    <w:rsid w:val="00AC6E7D"/>
    <w:rsid w:val="00AD0599"/>
    <w:rsid w:val="00AD071F"/>
    <w:rsid w:val="00AD16DB"/>
    <w:rsid w:val="00AD2EC4"/>
    <w:rsid w:val="00AD57FB"/>
    <w:rsid w:val="00AD6214"/>
    <w:rsid w:val="00AD6F72"/>
    <w:rsid w:val="00AD71B8"/>
    <w:rsid w:val="00AE03C9"/>
    <w:rsid w:val="00AE2453"/>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09D0"/>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0048"/>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232"/>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C8D"/>
    <w:rsid w:val="00CF3FAB"/>
    <w:rsid w:val="00CF67EC"/>
    <w:rsid w:val="00CF6E62"/>
    <w:rsid w:val="00D003D7"/>
    <w:rsid w:val="00D018CC"/>
    <w:rsid w:val="00D06B42"/>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4100"/>
    <w:rsid w:val="00DB71E7"/>
    <w:rsid w:val="00DC376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5B8"/>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3D14"/>
    <w:rsid w:val="00EB4155"/>
    <w:rsid w:val="00EB5B58"/>
    <w:rsid w:val="00EB5CE8"/>
    <w:rsid w:val="00EB6121"/>
    <w:rsid w:val="00EB6158"/>
    <w:rsid w:val="00EB671E"/>
    <w:rsid w:val="00EB6BAB"/>
    <w:rsid w:val="00EB6FF6"/>
    <w:rsid w:val="00EB743E"/>
    <w:rsid w:val="00EB7E45"/>
    <w:rsid w:val="00EC0F45"/>
    <w:rsid w:val="00EC1BC6"/>
    <w:rsid w:val="00EC2BDF"/>
    <w:rsid w:val="00EC33AF"/>
    <w:rsid w:val="00EC35EA"/>
    <w:rsid w:val="00EC5EAE"/>
    <w:rsid w:val="00ED5249"/>
    <w:rsid w:val="00ED5F6B"/>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17083"/>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7AC"/>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EB3D14"/>
    <w:pPr>
      <w:suppressAutoHyphens/>
      <w:spacing w:before="200" w:after="200"/>
      <w:ind w:left="0"/>
      <w:jc w:val="both"/>
      <w:outlineLvl w:val="1"/>
    </w:pPr>
    <w:rPr>
      <w:rFonts w:cs="Arial"/>
      <w:b/>
      <w:sz w:val="24"/>
    </w:rPr>
  </w:style>
  <w:style w:type="paragraph" w:styleId="Heading3">
    <w:name w:val="heading 3"/>
    <w:basedOn w:val="Normal"/>
    <w:next w:val="Normal"/>
    <w:qFormat/>
    <w:rsid w:val="00EB3D14"/>
    <w:pPr>
      <w:tabs>
        <w:tab w:val="left" w:pos="567"/>
      </w:tabs>
      <w:suppressAutoHyphens/>
      <w:spacing w:after="120"/>
      <w:jc w:val="both"/>
      <w:outlineLvl w:val="2"/>
    </w:pPr>
    <w:rPr>
      <w:rFonts w:cs="Arial"/>
      <w:b/>
      <w:sz w:val="24"/>
      <w:szCs w:val="22"/>
    </w:rPr>
  </w:style>
  <w:style w:type="paragraph" w:styleId="Heading4">
    <w:name w:val="heading 4"/>
    <w:basedOn w:val="Normal"/>
    <w:next w:val="Normal"/>
    <w:link w:val="Heading4Char"/>
    <w:qFormat/>
    <w:rsid w:val="00691EEB"/>
    <w:pPr>
      <w:keepNext/>
      <w:spacing w:before="240" w:after="60"/>
      <w:outlineLvl w:val="3"/>
    </w:pPr>
    <w:rPr>
      <w:rFonts w:eastAsia="MS Mincho"/>
      <w:b/>
      <w:bCs/>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691EEB"/>
    <w:rPr>
      <w:rFonts w:ascii="Arial" w:eastAsia="MS Mincho" w:hAnsi="Arial"/>
      <w:b/>
      <w:bCs/>
      <w:sz w:val="22"/>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1EEB"/>
    <w:pPr>
      <w:spacing w:after="0"/>
      <w:ind w:left="720"/>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EC0F4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0F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sid w:val="003D7D20"/>
    <w:pPr>
      <w:suppressAutoHyphens/>
      <w:spacing w:after="100"/>
    </w:pPr>
    <w:rPr>
      <w:rFonts w:cs="Times New Roman"/>
      <w:b/>
      <w:bCs/>
    </w:rPr>
  </w:style>
  <w:style w:type="character" w:customStyle="1" w:styleId="CommentSubjectChar">
    <w:name w:val="Comment Subject Char"/>
    <w:basedOn w:val="CommentTextChar"/>
    <w:link w:val="CommentSubject"/>
    <w:rsid w:val="003D7D20"/>
    <w:rPr>
      <w:rFonts w:ascii="Arial" w:hAnsi="Arial" w:cs="Arial"/>
      <w:b/>
      <w:bCs/>
    </w:rPr>
  </w:style>
  <w:style w:type="paragraph" w:styleId="Revision">
    <w:name w:val="Revision"/>
    <w:hidden/>
    <w:uiPriority w:val="99"/>
    <w:semiHidden/>
    <w:rsid w:val="003D7D2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C5AE-A4A6-4F99-835A-4786266A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Regulated Behaviour Control: Use of Restraint (Mechanical)</vt:lpstr>
    </vt:vector>
  </TitlesOfParts>
  <Manager/>
  <Company>Queensland Government</Company>
  <LinksUpToDate>false</LinksUpToDate>
  <CharactersWithSpaces>5713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Behaviour Control: Use of Restraint (Mechanical)</dc:title>
  <dc:subject>Regulated Behaviour Control: Use of Restraint (Mechanical) Procedure</dc:subject>
  <dc:creator>Director of Forensic Disability</dc:creator>
  <cp:keywords>operational; procedure; forensic; disability; client; regulated; behaviour; control; restraint; mechanical</cp:keywords>
  <cp:lastModifiedBy>Megan Crofts</cp:lastModifiedBy>
  <cp:revision>2</cp:revision>
  <cp:lastPrinted>2020-03-24T05:03:00Z</cp:lastPrinted>
  <dcterms:created xsi:type="dcterms:W3CDTF">2022-12-21T06:23:00Z</dcterms:created>
  <dcterms:modified xsi:type="dcterms:W3CDTF">2022-12-21T06:23:00Z</dcterms:modified>
  <cp:category>Regulated Behaviour Control: Use of Restraint (Mechanical) Procedure</cp:category>
</cp:coreProperties>
</file>