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03FC" w14:textId="77777777" w:rsidR="00CF1672" w:rsidRPr="00DE7318" w:rsidRDefault="00CF1672" w:rsidP="00CF1672">
      <w:pPr>
        <w:pStyle w:val="Heading1"/>
        <w:jc w:val="center"/>
        <w:rPr>
          <w:szCs w:val="48"/>
        </w:rPr>
      </w:pPr>
      <w:r w:rsidRPr="00DE7318">
        <w:rPr>
          <w:szCs w:val="48"/>
        </w:rPr>
        <w:t>Director of Forensic Disability</w:t>
      </w:r>
    </w:p>
    <w:p w14:paraId="598BBB0E" w14:textId="77777777" w:rsidR="00CF1672" w:rsidRPr="00DE7318" w:rsidRDefault="00CF1672" w:rsidP="00CF1672">
      <w:pPr>
        <w:pStyle w:val="Heading1"/>
        <w:jc w:val="center"/>
        <w:rPr>
          <w:szCs w:val="48"/>
        </w:rPr>
      </w:pPr>
      <w:r w:rsidRPr="00DE7318">
        <w:rPr>
          <w:szCs w:val="48"/>
        </w:rPr>
        <w:t>POLICY</w:t>
      </w:r>
    </w:p>
    <w:p w14:paraId="6093E020" w14:textId="44C1485D" w:rsidR="00CF1672" w:rsidRPr="00EE46E8" w:rsidRDefault="00CF1672" w:rsidP="00CF1672">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Human Rights</w:t>
      </w:r>
    </w:p>
    <w:p w14:paraId="170A58B1" w14:textId="77777777" w:rsidR="00D95A67" w:rsidRPr="000A4E52" w:rsidRDefault="00D95A67" w:rsidP="00CF1672">
      <w:pPr>
        <w:pStyle w:val="Heading2"/>
        <w:numPr>
          <w:ilvl w:val="1"/>
          <w:numId w:val="1"/>
        </w:numPr>
      </w:pPr>
      <w:r w:rsidRPr="000A4E52">
        <w:t>Policy Statement</w:t>
      </w:r>
    </w:p>
    <w:p w14:paraId="76DFA7AB" w14:textId="77777777" w:rsidR="000E2671" w:rsidRPr="000E2671" w:rsidRDefault="000E2671" w:rsidP="00CF1672">
      <w:pPr>
        <w:suppressAutoHyphens/>
        <w:autoSpaceDE w:val="0"/>
        <w:autoSpaceDN w:val="0"/>
        <w:adjustRightInd w:val="0"/>
        <w:jc w:val="both"/>
        <w:rPr>
          <w:szCs w:val="22"/>
        </w:rPr>
      </w:pPr>
      <w:r w:rsidRPr="000E2671">
        <w:rPr>
          <w:szCs w:val="22"/>
        </w:rPr>
        <w:t>Acknowledging that all people have a right to the same basic human rights is an important factor in the protection, care and support of forensic disability clients (clients) detained in the Forensic Disability Service (FDS).</w:t>
      </w:r>
    </w:p>
    <w:p w14:paraId="412DFC3E" w14:textId="44528F02" w:rsidR="000E2671" w:rsidRPr="000E2671" w:rsidRDefault="000E2671" w:rsidP="00CF1672">
      <w:pPr>
        <w:suppressAutoHyphens/>
        <w:autoSpaceDE w:val="0"/>
        <w:autoSpaceDN w:val="0"/>
        <w:adjustRightInd w:val="0"/>
        <w:jc w:val="both"/>
        <w:rPr>
          <w:rFonts w:cs="Arial"/>
          <w:color w:val="FF0000"/>
          <w:szCs w:val="22"/>
        </w:rPr>
      </w:pPr>
      <w:r w:rsidRPr="000E2671">
        <w:rPr>
          <w:rFonts w:cs="Arial"/>
          <w:szCs w:val="22"/>
        </w:rPr>
        <w:t xml:space="preserve">This </w:t>
      </w:r>
      <w:r w:rsidR="00C323EC">
        <w:rPr>
          <w:rFonts w:cs="Arial"/>
          <w:szCs w:val="22"/>
        </w:rPr>
        <w:t>p</w:t>
      </w:r>
      <w:r w:rsidRPr="000E2671">
        <w:rPr>
          <w:rFonts w:cs="Arial"/>
          <w:szCs w:val="22"/>
        </w:rPr>
        <w:t xml:space="preserve">olicy outlines the Director of Forensic Disability </w:t>
      </w:r>
      <w:r w:rsidR="00C323EC">
        <w:rPr>
          <w:rFonts w:cs="Arial"/>
          <w:szCs w:val="22"/>
        </w:rPr>
        <w:t>p</w:t>
      </w:r>
      <w:r w:rsidRPr="000E2671">
        <w:rPr>
          <w:rFonts w:cs="Arial"/>
          <w:szCs w:val="22"/>
        </w:rPr>
        <w:t>olicy with regard to recognising and taking into consideration human rights when making decisions that affect clients detained at the FDS.</w:t>
      </w:r>
    </w:p>
    <w:p w14:paraId="44AD5C2B" w14:textId="112CF427" w:rsidR="003D7AC8" w:rsidRPr="000A4E52" w:rsidRDefault="003D7AC8" w:rsidP="00CF1672">
      <w:pPr>
        <w:pStyle w:val="Heading2"/>
        <w:numPr>
          <w:ilvl w:val="1"/>
          <w:numId w:val="1"/>
        </w:numPr>
      </w:pPr>
      <w:r w:rsidRPr="000A4E52">
        <w:t xml:space="preserve">Purpose </w:t>
      </w:r>
    </w:p>
    <w:p w14:paraId="355C2741" w14:textId="2E451EE3" w:rsidR="005D391E" w:rsidRPr="000E2671" w:rsidRDefault="000E2671" w:rsidP="00CF1672">
      <w:pPr>
        <w:jc w:val="both"/>
        <w:rPr>
          <w:szCs w:val="22"/>
        </w:rPr>
      </w:pPr>
      <w:r w:rsidRPr="000E2671">
        <w:rPr>
          <w:szCs w:val="22"/>
        </w:rPr>
        <w:t xml:space="preserve">The purpose of this </w:t>
      </w:r>
      <w:r w:rsidR="00C323EC">
        <w:rPr>
          <w:szCs w:val="22"/>
        </w:rPr>
        <w:t>p</w:t>
      </w:r>
      <w:r w:rsidRPr="000E2671">
        <w:rPr>
          <w:szCs w:val="22"/>
        </w:rPr>
        <w:t xml:space="preserve">olicy is to highlight to all staff at the FDS that they have an obligation to ensure that they take civil and political rights (human rights) into account in their day-to-day decision making as it relates to the care, support and protection of clients detained in the FDS. </w:t>
      </w:r>
    </w:p>
    <w:p w14:paraId="555B3D2C" w14:textId="18CA1F1A" w:rsidR="00D95A67" w:rsidRPr="000A4E52" w:rsidRDefault="00D95A67" w:rsidP="00CF1672">
      <w:pPr>
        <w:pStyle w:val="Heading2"/>
        <w:numPr>
          <w:ilvl w:val="1"/>
          <w:numId w:val="1"/>
        </w:numPr>
      </w:pPr>
      <w:r w:rsidRPr="000A4E52">
        <w:t>Scope</w:t>
      </w:r>
    </w:p>
    <w:p w14:paraId="5C5DC89A" w14:textId="022D41D5" w:rsidR="000E2671" w:rsidRPr="000E2671" w:rsidRDefault="000E2671" w:rsidP="00CF1672">
      <w:pPr>
        <w:suppressAutoHyphens/>
        <w:jc w:val="both"/>
        <w:rPr>
          <w:szCs w:val="22"/>
        </w:rPr>
      </w:pPr>
      <w:r w:rsidRPr="000E2671">
        <w:rPr>
          <w:szCs w:val="22"/>
        </w:rPr>
        <w:t xml:space="preserve">This </w:t>
      </w:r>
      <w:r w:rsidR="00C323EC">
        <w:rPr>
          <w:szCs w:val="22"/>
        </w:rPr>
        <w:t>p</w:t>
      </w:r>
      <w:r w:rsidRPr="000E2671">
        <w:rPr>
          <w:szCs w:val="22"/>
        </w:rPr>
        <w:t>olicy applies to the FDS and all FDS staff.  The Administrator, Senior Practitioner</w:t>
      </w:r>
      <w:r w:rsidR="00C323EC">
        <w:rPr>
          <w:szCs w:val="22"/>
        </w:rPr>
        <w:t>s</w:t>
      </w:r>
      <w:r w:rsidRPr="000E2671">
        <w:rPr>
          <w:szCs w:val="22"/>
        </w:rPr>
        <w:t>, Authorised Practitioner</w:t>
      </w:r>
      <w:r w:rsidR="00C323EC">
        <w:rPr>
          <w:szCs w:val="22"/>
        </w:rPr>
        <w:t>s</w:t>
      </w:r>
      <w:r w:rsidRPr="000E2671">
        <w:rPr>
          <w:szCs w:val="22"/>
        </w:rPr>
        <w:t xml:space="preserve"> and other persons performing a function or exercising a power under the </w:t>
      </w:r>
      <w:r w:rsidR="00C323EC" w:rsidRPr="00AF427E">
        <w:rPr>
          <w:i/>
          <w:iCs/>
          <w:szCs w:val="22"/>
        </w:rPr>
        <w:t>Forensic Disability Act 2011</w:t>
      </w:r>
      <w:r w:rsidR="00C323EC" w:rsidRPr="00AF427E">
        <w:rPr>
          <w:szCs w:val="22"/>
        </w:rPr>
        <w:t xml:space="preserve"> (the Act) </w:t>
      </w:r>
      <w:r w:rsidRPr="000E2671">
        <w:rPr>
          <w:szCs w:val="22"/>
        </w:rPr>
        <w:t xml:space="preserve">must comply with this </w:t>
      </w:r>
      <w:r w:rsidR="00C323EC">
        <w:rPr>
          <w:szCs w:val="22"/>
        </w:rPr>
        <w:t>p</w:t>
      </w:r>
      <w:r w:rsidRPr="000E2671">
        <w:rPr>
          <w:szCs w:val="22"/>
        </w:rPr>
        <w:t>olicy.</w:t>
      </w:r>
    </w:p>
    <w:p w14:paraId="7188FFD8" w14:textId="59AAF92E" w:rsidR="00050193" w:rsidRDefault="00213F87" w:rsidP="00CF1672">
      <w:pPr>
        <w:pStyle w:val="Heading2"/>
        <w:numPr>
          <w:ilvl w:val="1"/>
          <w:numId w:val="1"/>
        </w:numPr>
      </w:pPr>
      <w:r w:rsidRPr="00213F87">
        <w:t>Authorising Legislation</w:t>
      </w:r>
    </w:p>
    <w:p w14:paraId="75B2123D" w14:textId="4ECA7323" w:rsidR="000E2671" w:rsidRPr="000E2671" w:rsidRDefault="000E2671" w:rsidP="00CF1672">
      <w:pPr>
        <w:jc w:val="both"/>
        <w:rPr>
          <w:position w:val="3"/>
          <w:szCs w:val="22"/>
          <w:lang w:eastAsia="x-none"/>
        </w:rPr>
      </w:pPr>
      <w:r w:rsidRPr="000E2671">
        <w:rPr>
          <w:position w:val="3"/>
          <w:szCs w:val="22"/>
          <w:lang w:eastAsia="x-none"/>
        </w:rPr>
        <w:t>Section 91</w:t>
      </w:r>
      <w:r w:rsidR="00C323EC">
        <w:rPr>
          <w:position w:val="3"/>
          <w:szCs w:val="22"/>
          <w:lang w:eastAsia="x-none"/>
        </w:rPr>
        <w:t xml:space="preserve"> </w:t>
      </w:r>
      <w:r w:rsidRPr="000E2671">
        <w:rPr>
          <w:position w:val="3"/>
          <w:szCs w:val="22"/>
          <w:lang w:eastAsia="x-none"/>
        </w:rPr>
        <w:t>of the</w:t>
      </w:r>
      <w:r w:rsidR="00C323EC">
        <w:rPr>
          <w:i/>
          <w:position w:val="3"/>
          <w:szCs w:val="22"/>
          <w:lang w:eastAsia="x-none"/>
        </w:rPr>
        <w:t xml:space="preserve"> </w:t>
      </w:r>
      <w:r w:rsidR="00C323EC">
        <w:rPr>
          <w:iCs/>
          <w:position w:val="3"/>
          <w:szCs w:val="22"/>
          <w:lang w:eastAsia="x-none"/>
        </w:rPr>
        <w:t>Act</w:t>
      </w:r>
      <w:r w:rsidRPr="000E2671">
        <w:rPr>
          <w:position w:val="3"/>
          <w:szCs w:val="22"/>
          <w:lang w:eastAsia="x-none"/>
        </w:rPr>
        <w:t>.</w:t>
      </w:r>
    </w:p>
    <w:p w14:paraId="5A862D69" w14:textId="39D4B6DD" w:rsidR="00050193" w:rsidRDefault="00F517E0" w:rsidP="00CF1672">
      <w:pPr>
        <w:pStyle w:val="Heading2"/>
        <w:numPr>
          <w:ilvl w:val="1"/>
          <w:numId w:val="1"/>
        </w:numPr>
      </w:pPr>
      <w:r w:rsidRPr="008E11A0">
        <w:t>Policy</w:t>
      </w:r>
    </w:p>
    <w:p w14:paraId="1F5B0A12" w14:textId="2ABA3B59" w:rsidR="000E2671" w:rsidRPr="001941DC" w:rsidRDefault="00CF1672" w:rsidP="00CF1672">
      <w:pPr>
        <w:pStyle w:val="Heading3"/>
        <w:numPr>
          <w:ilvl w:val="1"/>
          <w:numId w:val="44"/>
        </w:numPr>
      </w:pPr>
      <w:r>
        <w:t>Human rights, l</w:t>
      </w:r>
      <w:r w:rsidR="000E2671" w:rsidRPr="001941DC">
        <w:t>egislation and the FDS</w:t>
      </w:r>
    </w:p>
    <w:p w14:paraId="029E2624" w14:textId="77777777" w:rsidR="000E2671" w:rsidRDefault="000E2671" w:rsidP="00CF1672">
      <w:pPr>
        <w:jc w:val="both"/>
      </w:pPr>
      <w:r>
        <w:t xml:space="preserve">Since commencement, the Act has contained a number of important safeguards relating to the rights, care and protection of clients detained in the FDS. </w:t>
      </w:r>
    </w:p>
    <w:p w14:paraId="0829ED87" w14:textId="77777777" w:rsidR="000E2671" w:rsidRDefault="000E2671" w:rsidP="00CF1672">
      <w:pPr>
        <w:jc w:val="both"/>
      </w:pPr>
      <w:r>
        <w:t>In order to safeguard the rights, care and protection of clients detained in the FDS, the administration of powers under the Act must be administered (by FDS staff) in accordance with the “general principles” set out in section 7 of the Act. These “general principles” relate to:</w:t>
      </w:r>
    </w:p>
    <w:p w14:paraId="4B89FB3C" w14:textId="77777777" w:rsidR="000E2671" w:rsidRDefault="000E2671"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forensic disability clients having the same human rights as others;</w:t>
      </w:r>
    </w:p>
    <w:p w14:paraId="0777F732" w14:textId="77777777" w:rsidR="000E2671" w:rsidRDefault="000E2671"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promoting habilitation and rehabilitation;</w:t>
      </w:r>
    </w:p>
    <w:p w14:paraId="2052EB85" w14:textId="77777777" w:rsidR="000E2671" w:rsidRDefault="000E2671"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meeting individual needs and goals; </w:t>
      </w:r>
    </w:p>
    <w:p w14:paraId="28220331" w14:textId="77777777" w:rsidR="000E2671" w:rsidRDefault="000E2671"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lastRenderedPageBreak/>
        <w:t>maintaining supportive relationships and community participation;</w:t>
      </w:r>
    </w:p>
    <w:p w14:paraId="3BE13948" w14:textId="79BEB8F7" w:rsidR="000E2671" w:rsidRDefault="00C323EC"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supporting, encouraging and </w:t>
      </w:r>
      <w:r w:rsidR="000E2671">
        <w:rPr>
          <w:rFonts w:ascii="Arial" w:eastAsia="Times New Roman" w:hAnsi="Arial" w:cs="Arial"/>
          <w:sz w:val="22"/>
          <w:szCs w:val="22"/>
          <w:lang w:val="en-AU" w:eastAsia="en-AU"/>
        </w:rPr>
        <w:t>including client’s in making decisions;</w:t>
      </w:r>
    </w:p>
    <w:p w14:paraId="4A5F47C3" w14:textId="77777777" w:rsidR="000E2671" w:rsidRDefault="000E2671"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supporting and informing clients about the exercise of their rights; and </w:t>
      </w:r>
    </w:p>
    <w:p w14:paraId="4450DE0E" w14:textId="77777777" w:rsidR="000E2671" w:rsidRDefault="000E2671" w:rsidP="00CF1672">
      <w:pPr>
        <w:pStyle w:val="ListParagraph"/>
        <w:numPr>
          <w:ilvl w:val="0"/>
          <w:numId w:val="39"/>
        </w:numPr>
        <w:suppressAutoHyphens/>
        <w:spacing w:after="240"/>
        <w:ind w:left="714" w:hanging="357"/>
        <w:jc w:val="both"/>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the right to confidentiality. </w:t>
      </w:r>
    </w:p>
    <w:p w14:paraId="1F2E21F2" w14:textId="77777777" w:rsidR="000E2671" w:rsidRDefault="000E2671" w:rsidP="00CF1672">
      <w:pPr>
        <w:jc w:val="both"/>
      </w:pPr>
      <w:r>
        <w:t xml:space="preserve">All staff at the FDS must be familiar with the “general principles” as set out in section 7 of the Act. </w:t>
      </w:r>
    </w:p>
    <w:p w14:paraId="28228EC5" w14:textId="0F4D6ED0" w:rsidR="00322488" w:rsidRDefault="000E2671" w:rsidP="00CF1672">
      <w:pPr>
        <w:jc w:val="both"/>
      </w:pPr>
      <w:r w:rsidRPr="00627CC5">
        <w:t xml:space="preserve">Additionally the “Statement of Rights”, specific to clients detained in the FDS, must </w:t>
      </w:r>
      <w:r w:rsidR="001D448E">
        <w:t>be</w:t>
      </w:r>
      <w:r w:rsidR="00DE1604">
        <w:t xml:space="preserve"> provided and</w:t>
      </w:r>
      <w:r w:rsidR="001D448E">
        <w:t xml:space="preserve"> explained to each client (refer to</w:t>
      </w:r>
      <w:r w:rsidR="00B555E8">
        <w:t xml:space="preserve"> </w:t>
      </w:r>
      <w:r w:rsidR="00B555E8" w:rsidRPr="00AF427E">
        <w:rPr>
          <w:i/>
          <w:iCs/>
        </w:rPr>
        <w:t>Director of Forensic Disability -</w:t>
      </w:r>
      <w:r w:rsidRPr="00AF427E">
        <w:rPr>
          <w:i/>
          <w:iCs/>
        </w:rPr>
        <w:t xml:space="preserve"> Client Statement </w:t>
      </w:r>
      <w:r w:rsidR="00322488" w:rsidRPr="00AF427E">
        <w:rPr>
          <w:i/>
          <w:iCs/>
        </w:rPr>
        <w:t>of Rights and Responsibilities</w:t>
      </w:r>
      <w:r w:rsidR="00322488">
        <w:t>).</w:t>
      </w:r>
    </w:p>
    <w:p w14:paraId="6D744056" w14:textId="15776008" w:rsidR="000E2671" w:rsidRPr="00322488" w:rsidRDefault="000E2671" w:rsidP="00CF1672">
      <w:pPr>
        <w:jc w:val="both"/>
      </w:pPr>
      <w:r>
        <w:t>T</w:t>
      </w:r>
      <w:r w:rsidRPr="0084355A">
        <w:t>he</w:t>
      </w:r>
      <w:r>
        <w:t xml:space="preserve"> </w:t>
      </w:r>
      <w:r w:rsidRPr="0084355A">
        <w:rPr>
          <w:i/>
        </w:rPr>
        <w:t>Human Rights Act 2019</w:t>
      </w:r>
      <w:r>
        <w:rPr>
          <w:i/>
        </w:rPr>
        <w:t>,</w:t>
      </w:r>
      <w:r w:rsidRPr="0084355A">
        <w:t xml:space="preserve"> </w:t>
      </w:r>
      <w:r>
        <w:t xml:space="preserve">which places the human rights of individuals at the forefront of Queensland public sector service delivery, </w:t>
      </w:r>
      <w:r w:rsidRPr="0084355A">
        <w:t>reinforce</w:t>
      </w:r>
      <w:r>
        <w:t>s</w:t>
      </w:r>
      <w:r w:rsidRPr="0084355A">
        <w:t xml:space="preserve"> the</w:t>
      </w:r>
      <w:r>
        <w:t xml:space="preserve"> abovementioned “general principles” by requiring all</w:t>
      </w:r>
      <w:r w:rsidRPr="0084355A">
        <w:t xml:space="preserve"> FDS staff </w:t>
      </w:r>
      <w:r>
        <w:t>to</w:t>
      </w:r>
      <w:r w:rsidRPr="0084355A">
        <w:t xml:space="preserve"> </w:t>
      </w:r>
      <w:r>
        <w:t>take into consideration, when making a decision, that clients have the same</w:t>
      </w:r>
      <w:r w:rsidRPr="0084355A">
        <w:t xml:space="preserve"> human rights</w:t>
      </w:r>
      <w:r>
        <w:t xml:space="preserve"> as all other persons.  </w:t>
      </w:r>
    </w:p>
    <w:p w14:paraId="1FD51968" w14:textId="387C5324" w:rsidR="000E2671" w:rsidRDefault="000E2671" w:rsidP="00CF1672">
      <w:pPr>
        <w:pStyle w:val="Heading3"/>
        <w:numPr>
          <w:ilvl w:val="1"/>
          <w:numId w:val="44"/>
        </w:numPr>
      </w:pPr>
      <w:r>
        <w:t>C</w:t>
      </w:r>
      <w:r w:rsidR="00CF1672">
        <w:t>ompatible with human r</w:t>
      </w:r>
      <w:r w:rsidRPr="00FE14D5">
        <w:t>ights</w:t>
      </w:r>
    </w:p>
    <w:p w14:paraId="4D3C6F7D" w14:textId="77777777" w:rsidR="000E2671" w:rsidRPr="00C75A54" w:rsidRDefault="000E2671" w:rsidP="00CF1672">
      <w:pPr>
        <w:jc w:val="both"/>
      </w:pPr>
      <w:r>
        <w:t xml:space="preserve">In accordance with the </w:t>
      </w:r>
      <w:r w:rsidRPr="00657438">
        <w:rPr>
          <w:i/>
        </w:rPr>
        <w:t>Human Rights Act 2019</w:t>
      </w:r>
      <w:r>
        <w:rPr>
          <w:i/>
        </w:rPr>
        <w:t>,</w:t>
      </w:r>
      <w:r>
        <w:t xml:space="preserve"> all FDS staff have an obligation to ensure they give proper consideration to human rights when making a decision that affects a client and that the decision is </w:t>
      </w:r>
      <w:r w:rsidRPr="00C75A54">
        <w:rPr>
          <w:b/>
        </w:rPr>
        <w:t>compatible with human rights</w:t>
      </w:r>
      <w:r>
        <w:t>.</w:t>
      </w:r>
    </w:p>
    <w:p w14:paraId="228DFDE8" w14:textId="77777777" w:rsidR="000E2671" w:rsidRDefault="000E2671" w:rsidP="00CF1672">
      <w:pPr>
        <w:jc w:val="both"/>
      </w:pPr>
      <w:r>
        <w:t xml:space="preserve">“Compatible with human rights” is a key term in the </w:t>
      </w:r>
      <w:r w:rsidRPr="00030527">
        <w:rPr>
          <w:i/>
        </w:rPr>
        <w:t>Human Rights Act 2019</w:t>
      </w:r>
      <w:r>
        <w:t xml:space="preserve">.  It is used throughout the </w:t>
      </w:r>
      <w:r w:rsidRPr="00051CBC">
        <w:rPr>
          <w:i/>
        </w:rPr>
        <w:t>Human Rights Act 2019</w:t>
      </w:r>
      <w:r>
        <w:t xml:space="preserve"> to set the standard for the obligations that are placed on a decision maker when making a decision.</w:t>
      </w:r>
    </w:p>
    <w:p w14:paraId="3C526B8C" w14:textId="77777777" w:rsidR="000E2671" w:rsidRDefault="000E2671" w:rsidP="00CF1672">
      <w:pPr>
        <w:jc w:val="both"/>
      </w:pPr>
      <w:r>
        <w:t xml:space="preserve">An act or decision is </w:t>
      </w:r>
      <w:r w:rsidRPr="00C75A54">
        <w:rPr>
          <w:b/>
        </w:rPr>
        <w:t>compatible with human rights</w:t>
      </w:r>
      <w:r>
        <w:t xml:space="preserve"> if it: </w:t>
      </w:r>
    </w:p>
    <w:p w14:paraId="40F4B187" w14:textId="77777777" w:rsidR="000E2671" w:rsidRDefault="000E2671" w:rsidP="00CF1672">
      <w:pPr>
        <w:pStyle w:val="ListParagraph"/>
        <w:numPr>
          <w:ilvl w:val="0"/>
          <w:numId w:val="40"/>
        </w:numPr>
        <w:suppressAutoHyphens/>
        <w:spacing w:after="240"/>
        <w:contextualSpacing w:val="0"/>
        <w:jc w:val="both"/>
        <w:rPr>
          <w:rFonts w:ascii="Arial" w:hAnsi="Arial" w:cs="Arial"/>
          <w:sz w:val="22"/>
          <w:szCs w:val="22"/>
        </w:rPr>
      </w:pPr>
      <w:r>
        <w:rPr>
          <w:rFonts w:ascii="Arial" w:hAnsi="Arial" w:cs="Arial"/>
          <w:sz w:val="22"/>
          <w:szCs w:val="22"/>
        </w:rPr>
        <w:t xml:space="preserve">does not limit a human right; or </w:t>
      </w:r>
    </w:p>
    <w:p w14:paraId="064B4F74" w14:textId="77777777" w:rsidR="000E2671" w:rsidRPr="00051CBC" w:rsidRDefault="000E2671" w:rsidP="00CF1672">
      <w:pPr>
        <w:pStyle w:val="ListParagraph"/>
        <w:numPr>
          <w:ilvl w:val="0"/>
          <w:numId w:val="40"/>
        </w:numPr>
        <w:suppressAutoHyphens/>
        <w:spacing w:after="240"/>
        <w:contextualSpacing w:val="0"/>
        <w:jc w:val="both"/>
        <w:rPr>
          <w:rFonts w:ascii="Arial" w:eastAsia="Times New Roman" w:hAnsi="Arial" w:cs="Arial"/>
          <w:sz w:val="22"/>
          <w:szCs w:val="22"/>
          <w:lang w:val="en-AU" w:eastAsia="en-AU"/>
        </w:rPr>
      </w:pPr>
      <w:r>
        <w:rPr>
          <w:rFonts w:ascii="Arial" w:hAnsi="Arial" w:cs="Arial"/>
          <w:sz w:val="22"/>
          <w:szCs w:val="22"/>
        </w:rPr>
        <w:t xml:space="preserve">limits a human right only to the extent that is </w:t>
      </w:r>
      <w:r w:rsidRPr="00554920">
        <w:rPr>
          <w:rFonts w:ascii="Arial" w:hAnsi="Arial" w:cs="Arial"/>
          <w:b/>
          <w:sz w:val="22"/>
          <w:szCs w:val="22"/>
        </w:rPr>
        <w:t>reasonable</w:t>
      </w:r>
      <w:r>
        <w:rPr>
          <w:rFonts w:ascii="Arial" w:hAnsi="Arial" w:cs="Arial"/>
          <w:sz w:val="22"/>
          <w:szCs w:val="22"/>
        </w:rPr>
        <w:t xml:space="preserve"> and </w:t>
      </w:r>
      <w:r w:rsidRPr="00554920">
        <w:rPr>
          <w:rFonts w:ascii="Arial" w:hAnsi="Arial" w:cs="Arial"/>
          <w:b/>
          <w:sz w:val="22"/>
          <w:szCs w:val="22"/>
        </w:rPr>
        <w:t>demonstrably justifiable</w:t>
      </w:r>
      <w:r>
        <w:rPr>
          <w:rFonts w:ascii="Arial" w:hAnsi="Arial" w:cs="Arial"/>
          <w:sz w:val="22"/>
          <w:szCs w:val="22"/>
        </w:rPr>
        <w:t xml:space="preserve"> in a free and democratic society based on human dignity, equality and freedom. </w:t>
      </w:r>
    </w:p>
    <w:p w14:paraId="1233CC97" w14:textId="5D02A36B" w:rsidR="000E2671" w:rsidRPr="00E60B42" w:rsidRDefault="000E2671" w:rsidP="00CF1672">
      <w:pPr>
        <w:pStyle w:val="Heading3"/>
        <w:numPr>
          <w:ilvl w:val="1"/>
          <w:numId w:val="44"/>
        </w:numPr>
      </w:pPr>
      <w:r>
        <w:t xml:space="preserve">Decisions, </w:t>
      </w:r>
      <w:r w:rsidR="00CF1672">
        <w:t>management of risk and human r</w:t>
      </w:r>
      <w:r w:rsidRPr="00E60B42">
        <w:t>ights</w:t>
      </w:r>
    </w:p>
    <w:p w14:paraId="683C8037" w14:textId="77777777" w:rsidR="000E2671" w:rsidRDefault="000E2671" w:rsidP="00CF1672">
      <w:pPr>
        <w:suppressAutoHyphens/>
        <w:jc w:val="both"/>
        <w:rPr>
          <w:rFonts w:cs="Arial"/>
          <w:szCs w:val="22"/>
        </w:rPr>
      </w:pPr>
      <w:r>
        <w:rPr>
          <w:rFonts w:cs="Arial"/>
          <w:szCs w:val="22"/>
        </w:rPr>
        <w:t xml:space="preserve">Most actions or decisions by FDS staff will have an impact on a client’s human rights. In some cases these actions or decisions may protect or uphold human rights and in others they may limit human rights. For example, the management of risk may require a decision that limits a human right. </w:t>
      </w:r>
    </w:p>
    <w:p w14:paraId="740FA321" w14:textId="77777777" w:rsidR="000E2671" w:rsidRDefault="000E2671" w:rsidP="00CF1672">
      <w:pPr>
        <w:suppressAutoHyphens/>
        <w:jc w:val="both"/>
        <w:rPr>
          <w:rFonts w:cs="Arial"/>
          <w:szCs w:val="22"/>
        </w:rPr>
      </w:pPr>
      <w:r>
        <w:rPr>
          <w:rFonts w:cs="Arial"/>
          <w:szCs w:val="22"/>
        </w:rPr>
        <w:t xml:space="preserve">Where a decision limits a human right it does not automatically mean that the decision is incompatible with human rights. For example, the decision may be authorised by law, and as such demonstrably justifiable in our free and democratic society.  However, where a decision is made that limits a client’s human rights, this may only occur after careful consideration and </w:t>
      </w:r>
      <w:r w:rsidRPr="009D5F43">
        <w:rPr>
          <w:rFonts w:cs="Arial"/>
          <w:szCs w:val="22"/>
        </w:rPr>
        <w:t>where the decision mak</w:t>
      </w:r>
      <w:r>
        <w:rPr>
          <w:rFonts w:cs="Arial"/>
          <w:szCs w:val="22"/>
        </w:rPr>
        <w:t>er is satisfied that the decision is justifiable and the</w:t>
      </w:r>
      <w:r w:rsidRPr="009D5F43">
        <w:rPr>
          <w:rFonts w:cs="Arial"/>
          <w:szCs w:val="22"/>
        </w:rPr>
        <w:t xml:space="preserve"> least restrictive course of action.  </w:t>
      </w:r>
    </w:p>
    <w:p w14:paraId="645F4052" w14:textId="433F02D4" w:rsidR="000E2671" w:rsidRDefault="000E2671" w:rsidP="00CF1672">
      <w:pPr>
        <w:spacing w:after="160" w:line="259" w:lineRule="auto"/>
        <w:jc w:val="both"/>
        <w:rPr>
          <w:rFonts w:cs="Arial"/>
          <w:szCs w:val="22"/>
        </w:rPr>
      </w:pPr>
      <w:r>
        <w:rPr>
          <w:rFonts w:cs="Arial"/>
          <w:szCs w:val="22"/>
        </w:rPr>
        <w:t xml:space="preserve">Before making any decision that affects a client, FDS staff must ask themselves the following questions: </w:t>
      </w:r>
    </w:p>
    <w:p w14:paraId="35337131" w14:textId="77777777" w:rsidR="000E2671" w:rsidRDefault="000E2671" w:rsidP="00CF1672">
      <w:pPr>
        <w:pStyle w:val="ListParagraph"/>
        <w:numPr>
          <w:ilvl w:val="0"/>
          <w:numId w:val="41"/>
        </w:numPr>
        <w:suppressAutoHyphens/>
        <w:spacing w:after="240"/>
        <w:jc w:val="both"/>
        <w:rPr>
          <w:rFonts w:ascii="Arial" w:hAnsi="Arial" w:cs="Arial"/>
          <w:sz w:val="22"/>
          <w:szCs w:val="22"/>
        </w:rPr>
      </w:pPr>
      <w:r>
        <w:rPr>
          <w:rFonts w:ascii="Arial" w:hAnsi="Arial" w:cs="Arial"/>
          <w:sz w:val="22"/>
          <w:szCs w:val="22"/>
        </w:rPr>
        <w:t xml:space="preserve">What human rights are affected? </w:t>
      </w:r>
    </w:p>
    <w:p w14:paraId="118A31C1" w14:textId="77777777" w:rsidR="000E2671" w:rsidRDefault="000E2671" w:rsidP="00CF1672">
      <w:pPr>
        <w:pStyle w:val="ListParagraph"/>
        <w:numPr>
          <w:ilvl w:val="0"/>
          <w:numId w:val="41"/>
        </w:numPr>
        <w:suppressAutoHyphens/>
        <w:spacing w:after="240"/>
        <w:jc w:val="both"/>
        <w:rPr>
          <w:rFonts w:ascii="Arial" w:hAnsi="Arial" w:cs="Arial"/>
          <w:sz w:val="22"/>
          <w:szCs w:val="22"/>
        </w:rPr>
      </w:pPr>
      <w:r>
        <w:rPr>
          <w:rFonts w:ascii="Arial" w:hAnsi="Arial" w:cs="Arial"/>
          <w:sz w:val="22"/>
          <w:szCs w:val="22"/>
        </w:rPr>
        <w:t>Will human rights be limited?</w:t>
      </w:r>
    </w:p>
    <w:p w14:paraId="7DA3817E" w14:textId="77777777" w:rsidR="000E2671" w:rsidRDefault="000E2671" w:rsidP="00CF1672">
      <w:pPr>
        <w:pStyle w:val="ListParagraph"/>
        <w:numPr>
          <w:ilvl w:val="0"/>
          <w:numId w:val="41"/>
        </w:numPr>
        <w:suppressAutoHyphens/>
        <w:spacing w:after="240"/>
        <w:jc w:val="both"/>
        <w:rPr>
          <w:rFonts w:ascii="Arial" w:hAnsi="Arial" w:cs="Arial"/>
          <w:sz w:val="22"/>
          <w:szCs w:val="22"/>
        </w:rPr>
      </w:pPr>
      <w:r>
        <w:rPr>
          <w:rFonts w:ascii="Arial" w:hAnsi="Arial" w:cs="Arial"/>
          <w:sz w:val="22"/>
          <w:szCs w:val="22"/>
        </w:rPr>
        <w:lastRenderedPageBreak/>
        <w:t>Does the law let me limit human rights?</w:t>
      </w:r>
    </w:p>
    <w:p w14:paraId="04ABAA73" w14:textId="77777777" w:rsidR="000E2671" w:rsidRDefault="000E2671" w:rsidP="00CF1672">
      <w:pPr>
        <w:pStyle w:val="ListParagraph"/>
        <w:numPr>
          <w:ilvl w:val="0"/>
          <w:numId w:val="41"/>
        </w:numPr>
        <w:suppressAutoHyphens/>
        <w:spacing w:after="240"/>
        <w:jc w:val="both"/>
        <w:rPr>
          <w:rFonts w:ascii="Arial" w:hAnsi="Arial" w:cs="Arial"/>
          <w:sz w:val="22"/>
          <w:szCs w:val="22"/>
        </w:rPr>
      </w:pPr>
      <w:r>
        <w:rPr>
          <w:rFonts w:ascii="Arial" w:hAnsi="Arial" w:cs="Arial"/>
          <w:sz w:val="22"/>
          <w:szCs w:val="22"/>
        </w:rPr>
        <w:t xml:space="preserve">Can I show there is a good reason for limiting human rights, is it fair, and is it the least restrictive? </w:t>
      </w:r>
    </w:p>
    <w:p w14:paraId="66AEA371" w14:textId="72616637" w:rsidR="00322488" w:rsidRDefault="000E2671" w:rsidP="00CF1672">
      <w:pPr>
        <w:pStyle w:val="Heading3"/>
        <w:numPr>
          <w:ilvl w:val="1"/>
          <w:numId w:val="44"/>
        </w:numPr>
      </w:pPr>
      <w:r>
        <w:t>Docu</w:t>
      </w:r>
      <w:r w:rsidR="00CF1672">
        <w:t>menting a decision that limits human r</w:t>
      </w:r>
      <w:r>
        <w:t>ights</w:t>
      </w:r>
    </w:p>
    <w:p w14:paraId="23D79AFE" w14:textId="54C10163" w:rsidR="000E2671" w:rsidRPr="00322488" w:rsidRDefault="000E2671" w:rsidP="00CF1672">
      <w:pPr>
        <w:suppressAutoHyphens/>
        <w:jc w:val="both"/>
        <w:rPr>
          <w:rFonts w:cs="Arial"/>
          <w:b/>
          <w:szCs w:val="22"/>
        </w:rPr>
      </w:pPr>
      <w:r w:rsidRPr="00FF3535">
        <w:rPr>
          <w:rFonts w:cs="Arial"/>
          <w:szCs w:val="22"/>
        </w:rPr>
        <w:t>FDS staff should clearly</w:t>
      </w:r>
      <w:r>
        <w:rPr>
          <w:rFonts w:cs="Arial"/>
          <w:b/>
          <w:szCs w:val="22"/>
        </w:rPr>
        <w:t xml:space="preserve"> document </w:t>
      </w:r>
      <w:r w:rsidRPr="00FF3535">
        <w:rPr>
          <w:rFonts w:cs="Arial"/>
          <w:szCs w:val="22"/>
        </w:rPr>
        <w:t xml:space="preserve">how they gave proper consideration to human rights </w:t>
      </w:r>
      <w:r>
        <w:rPr>
          <w:rFonts w:cs="Arial"/>
          <w:szCs w:val="22"/>
        </w:rPr>
        <w:t xml:space="preserve">before deciding to limit a client’s human rights, or taking action which limits human rights. </w:t>
      </w:r>
    </w:p>
    <w:p w14:paraId="41C79BE6" w14:textId="1597C947" w:rsidR="000E2671" w:rsidRPr="00C75A54" w:rsidRDefault="000E2671" w:rsidP="00CF1672">
      <w:pPr>
        <w:pStyle w:val="Heading2"/>
        <w:numPr>
          <w:ilvl w:val="1"/>
          <w:numId w:val="1"/>
        </w:numPr>
      </w:pPr>
      <w:r w:rsidRPr="00C75A54">
        <w:t>Complaints</w:t>
      </w:r>
    </w:p>
    <w:p w14:paraId="21B49575" w14:textId="1B4296A6" w:rsidR="000E2671" w:rsidRPr="00AF427E" w:rsidRDefault="003E1FD7" w:rsidP="00CF1672">
      <w:pPr>
        <w:suppressAutoHyphens/>
        <w:jc w:val="both"/>
        <w:rPr>
          <w:rFonts w:cs="Arial"/>
          <w:i/>
          <w:iCs/>
          <w:szCs w:val="22"/>
        </w:rPr>
      </w:pPr>
      <w:r w:rsidRPr="00627CC5">
        <w:rPr>
          <w:szCs w:val="22"/>
        </w:rPr>
        <w:t>Complaints in relation to the support and care of clients at the FDS, including human rights, may be received by any staff member at the FDS and/or the Director of Forensic Disability</w:t>
      </w:r>
      <w:r>
        <w:rPr>
          <w:szCs w:val="22"/>
        </w:rPr>
        <w:t>.</w:t>
      </w:r>
      <w:r w:rsidRPr="00627CC5">
        <w:rPr>
          <w:szCs w:val="22"/>
        </w:rPr>
        <w:t xml:space="preserve"> </w:t>
      </w:r>
      <w:r w:rsidR="000E2671">
        <w:rPr>
          <w:rFonts w:cs="Arial"/>
          <w:szCs w:val="22"/>
        </w:rPr>
        <w:t xml:space="preserve">The Administrator of the FDS must ensure that there is an effective complaints process in </w:t>
      </w:r>
      <w:r w:rsidR="000E2671" w:rsidRPr="00627CC5">
        <w:rPr>
          <w:rFonts w:cs="Arial"/>
          <w:szCs w:val="22"/>
        </w:rPr>
        <w:t xml:space="preserve">place to deal with any human rights concerns or complaints that may arise. </w:t>
      </w:r>
      <w:r w:rsidR="00F53A9F">
        <w:rPr>
          <w:rFonts w:cs="Arial"/>
          <w:szCs w:val="22"/>
        </w:rPr>
        <w:t xml:space="preserve">Furthermore, </w:t>
      </w:r>
      <w:r>
        <w:rPr>
          <w:rFonts w:cs="Arial"/>
          <w:szCs w:val="22"/>
        </w:rPr>
        <w:t xml:space="preserve">where a human rights complaint is received at the FDS, </w:t>
      </w:r>
      <w:r w:rsidR="00F53A9F">
        <w:rPr>
          <w:rFonts w:cs="Arial"/>
          <w:szCs w:val="22"/>
        </w:rPr>
        <w:t xml:space="preserve">the Administrator </w:t>
      </w:r>
      <w:r>
        <w:rPr>
          <w:rFonts w:cs="Arial"/>
          <w:szCs w:val="22"/>
        </w:rPr>
        <w:t>must</w:t>
      </w:r>
      <w:r w:rsidR="00F53A9F">
        <w:rPr>
          <w:rFonts w:cs="Arial"/>
          <w:szCs w:val="22"/>
        </w:rPr>
        <w:t xml:space="preserve"> notify the Director </w:t>
      </w:r>
      <w:r>
        <w:rPr>
          <w:rFonts w:cs="Arial"/>
          <w:szCs w:val="22"/>
        </w:rPr>
        <w:t xml:space="preserve">as soon as practicable after receipt of the complaint (refer to </w:t>
      </w:r>
      <w:r w:rsidRPr="00AF427E">
        <w:rPr>
          <w:rFonts w:cs="Arial"/>
          <w:i/>
          <w:iCs/>
          <w:szCs w:val="22"/>
        </w:rPr>
        <w:t>Director of Forensic Disability Policy</w:t>
      </w:r>
      <w:r>
        <w:rPr>
          <w:rFonts w:cs="Arial"/>
          <w:szCs w:val="22"/>
        </w:rPr>
        <w:t xml:space="preserve"> </w:t>
      </w:r>
      <w:r>
        <w:rPr>
          <w:rFonts w:cs="Arial"/>
          <w:i/>
          <w:iCs/>
          <w:szCs w:val="22"/>
        </w:rPr>
        <w:t xml:space="preserve">The Management of Complaints about Care, Support and Protection of Forensic Disability Clients). </w:t>
      </w:r>
    </w:p>
    <w:p w14:paraId="15ED01E0" w14:textId="77777777" w:rsidR="00CB3C60" w:rsidRPr="00FE5273" w:rsidRDefault="00CB3C60" w:rsidP="00CB3C60">
      <w:pPr>
        <w:pBdr>
          <w:bottom w:val="single" w:sz="4" w:space="1" w:color="auto"/>
        </w:pBdr>
        <w:rPr>
          <w:szCs w:val="22"/>
        </w:rPr>
      </w:pPr>
    </w:p>
    <w:p w14:paraId="406DAC1E" w14:textId="77777777" w:rsidR="00CB3C60" w:rsidRPr="000F3089" w:rsidRDefault="00CB3C60" w:rsidP="00CB3C60">
      <w:pPr>
        <w:tabs>
          <w:tab w:val="left" w:pos="2552"/>
        </w:tabs>
        <w:spacing w:before="240"/>
        <w:rPr>
          <w:szCs w:val="22"/>
        </w:rPr>
      </w:pPr>
      <w:r w:rsidRPr="000F3089">
        <w:rPr>
          <w:b/>
          <w:szCs w:val="22"/>
        </w:rPr>
        <w:t>Date of approval:</w:t>
      </w:r>
      <w:r w:rsidRPr="000F3089">
        <w:rPr>
          <w:szCs w:val="22"/>
        </w:rPr>
        <w:tab/>
      </w:r>
      <w:r>
        <w:rPr>
          <w:szCs w:val="22"/>
        </w:rPr>
        <w:t>09 January 2023</w:t>
      </w:r>
    </w:p>
    <w:p w14:paraId="4A70C826" w14:textId="77777777" w:rsidR="00CB3C60" w:rsidRPr="000F3089" w:rsidRDefault="00CB3C60" w:rsidP="00CB3C60">
      <w:pPr>
        <w:tabs>
          <w:tab w:val="left" w:pos="2552"/>
        </w:tabs>
        <w:rPr>
          <w:szCs w:val="22"/>
        </w:rPr>
      </w:pPr>
      <w:r w:rsidRPr="000F3089">
        <w:rPr>
          <w:b/>
          <w:szCs w:val="22"/>
        </w:rPr>
        <w:t>Date of operation:</w:t>
      </w:r>
      <w:r w:rsidRPr="000F3089">
        <w:rPr>
          <w:szCs w:val="22"/>
        </w:rPr>
        <w:tab/>
      </w:r>
      <w:r>
        <w:rPr>
          <w:szCs w:val="22"/>
        </w:rPr>
        <w:t>01 February 2023</w:t>
      </w:r>
    </w:p>
    <w:p w14:paraId="63BB3E0F" w14:textId="77777777" w:rsidR="00CB3C60" w:rsidRPr="00B966AD" w:rsidRDefault="00CB3C60" w:rsidP="00CB3C60">
      <w:pPr>
        <w:pBdr>
          <w:bottom w:val="single" w:sz="6" w:space="1" w:color="auto"/>
        </w:pBdr>
        <w:tabs>
          <w:tab w:val="left" w:pos="2552"/>
        </w:tabs>
      </w:pPr>
      <w:r w:rsidRPr="00B966AD">
        <w:rPr>
          <w:b/>
        </w:rPr>
        <w:t>Date to be reviewed:</w:t>
      </w:r>
      <w:r w:rsidRPr="00B966AD">
        <w:tab/>
      </w:r>
      <w:r w:rsidRPr="009769EA">
        <w:t>01 February 202</w:t>
      </w:r>
      <w:r w:rsidRPr="0004053D">
        <w:t>6</w:t>
      </w:r>
    </w:p>
    <w:p w14:paraId="2148A0A4" w14:textId="77777777" w:rsidR="00CB3C60" w:rsidRPr="00B966AD" w:rsidRDefault="00CB3C60" w:rsidP="00CB3C60">
      <w:pPr>
        <w:tabs>
          <w:tab w:val="left" w:pos="2552"/>
        </w:tabs>
      </w:pPr>
      <w:r w:rsidRPr="00B966AD">
        <w:rPr>
          <w:b/>
        </w:rPr>
        <w:t>Office:</w:t>
      </w:r>
      <w:r w:rsidRPr="00B966AD">
        <w:tab/>
        <w:t>Director of Forensic Disability</w:t>
      </w:r>
    </w:p>
    <w:p w14:paraId="7A476939" w14:textId="77777777" w:rsidR="00CB3C60" w:rsidRPr="00B966AD" w:rsidRDefault="00CB3C60" w:rsidP="00CB3C60">
      <w:pPr>
        <w:pBdr>
          <w:bottom w:val="single" w:sz="6" w:space="1" w:color="auto"/>
        </w:pBdr>
        <w:tabs>
          <w:tab w:val="left" w:pos="2552"/>
        </w:tabs>
      </w:pPr>
      <w:r w:rsidRPr="00B966AD">
        <w:rPr>
          <w:b/>
        </w:rPr>
        <w:t>Help Contact:</w:t>
      </w:r>
      <w:r w:rsidRPr="00B966AD">
        <w:tab/>
      </w:r>
      <w:hyperlink r:id="rId8" w:history="1">
        <w:r w:rsidRPr="008C7782">
          <w:rPr>
            <w:rStyle w:val="Hyperlink"/>
          </w:rPr>
          <w:t>directorforensicdisability@dsdsatsip.qld.gov.au</w:t>
        </w:r>
      </w:hyperlink>
    </w:p>
    <w:p w14:paraId="209CB202" w14:textId="77777777" w:rsidR="00CB3C60" w:rsidRPr="00B966AD" w:rsidRDefault="00CB3C60" w:rsidP="00CB3C60">
      <w:r w:rsidRPr="00B966AD">
        <w:rPr>
          <w:bCs/>
          <w:sz w:val="24"/>
        </w:rPr>
        <w:t>Jenny Lynas</w:t>
      </w:r>
      <w:r w:rsidRPr="00B966AD">
        <w:rPr>
          <w:bCs/>
          <w:sz w:val="24"/>
        </w:rPr>
        <w:br/>
        <w:t>Director of Forensic Disability</w:t>
      </w:r>
    </w:p>
    <w:p w14:paraId="777874BB" w14:textId="0BBF498E" w:rsidR="00CF1672" w:rsidRPr="00CF1672" w:rsidRDefault="00CF1672" w:rsidP="003A2B78">
      <w:pPr>
        <w:sectPr w:rsidR="00CF1672" w:rsidRPr="00CF1672" w:rsidSect="00507C22">
          <w:headerReference w:type="default" r:id="rId9"/>
          <w:footerReference w:type="default" r:id="rId10"/>
          <w:headerReference w:type="first" r:id="rId11"/>
          <w:footerReference w:type="first" r:id="rId12"/>
          <w:pgSz w:w="11906" w:h="16838"/>
          <w:pgMar w:top="1985" w:right="1134" w:bottom="1134" w:left="1134" w:header="709" w:footer="1474" w:gutter="0"/>
          <w:cols w:space="709"/>
          <w:titlePg/>
          <w:docGrid w:linePitch="360"/>
        </w:sectPr>
      </w:pPr>
    </w:p>
    <w:p w14:paraId="1A0FE05C" w14:textId="77777777" w:rsidR="00CF1672" w:rsidRDefault="00CF1672" w:rsidP="000E2671">
      <w:pPr>
        <w:suppressAutoHyphens/>
        <w:spacing w:after="100"/>
        <w:jc w:val="both"/>
        <w:rPr>
          <w:rFonts w:cs="Arial"/>
          <w:b/>
          <w:szCs w:val="22"/>
        </w:rPr>
      </w:pPr>
    </w:p>
    <w:sectPr w:rsidR="00CF1672" w:rsidSect="00385C7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807" w:right="1416" w:bottom="1843"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647518"/>
      <w:docPartObj>
        <w:docPartGallery w:val="Page Numbers (Bottom of Page)"/>
        <w:docPartUnique/>
      </w:docPartObj>
    </w:sdtPr>
    <w:sdtEndPr>
      <w:rPr>
        <w:noProof/>
      </w:rPr>
    </w:sdtEndPr>
    <w:sdtContent>
      <w:p w14:paraId="23096A6F" w14:textId="77777777" w:rsidR="00A52E07" w:rsidRDefault="00A52E07">
        <w:pPr>
          <w:pStyle w:val="Footer"/>
          <w:jc w:val="right"/>
        </w:pPr>
        <w:r>
          <w:fldChar w:fldCharType="begin"/>
        </w:r>
        <w:r>
          <w:instrText xml:space="preserve"> PAGE   \* MERGEFORMAT </w:instrText>
        </w:r>
        <w:r>
          <w:fldChar w:fldCharType="separate"/>
        </w:r>
        <w:r w:rsidR="001D448E">
          <w:rPr>
            <w:noProof/>
          </w:rPr>
          <w:t>3</w:t>
        </w:r>
        <w:r>
          <w:rPr>
            <w:noProof/>
          </w:rPr>
          <w:fldChar w:fldCharType="end"/>
        </w:r>
      </w:p>
    </w:sdtContent>
  </w:sdt>
  <w:p w14:paraId="3B44E4FD" w14:textId="77777777" w:rsidR="00A52E07" w:rsidRDefault="00A5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534242"/>
      <w:docPartObj>
        <w:docPartGallery w:val="Page Numbers (Bottom of Page)"/>
        <w:docPartUnique/>
      </w:docPartObj>
    </w:sdtPr>
    <w:sdtEndPr>
      <w:rPr>
        <w:noProof/>
      </w:rPr>
    </w:sdtEndPr>
    <w:sdtContent>
      <w:p w14:paraId="64029D8A" w14:textId="0894044B" w:rsidR="001D448E" w:rsidRDefault="001D448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331214" w14:textId="77777777" w:rsidR="001D448E" w:rsidRDefault="001D4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A7A2" w14:textId="77777777" w:rsidR="0004275D" w:rsidRDefault="00227A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3C85" w14:textId="77777777" w:rsidR="003E11AF" w:rsidRPr="00CE2CA3" w:rsidRDefault="009F319F" w:rsidP="003E11AF">
    <w:pPr>
      <w:pBdr>
        <w:bottom w:val="single" w:sz="4" w:space="0" w:color="auto"/>
      </w:pBdr>
      <w:jc w:val="both"/>
      <w:rPr>
        <w:sz w:val="12"/>
      </w:rPr>
    </w:pPr>
    <w:r>
      <w:tab/>
    </w:r>
  </w:p>
  <w:p w14:paraId="4212932E" w14:textId="77777777" w:rsidR="003E11AF" w:rsidRPr="00532287" w:rsidRDefault="009F319F" w:rsidP="003E11AF">
    <w:pPr>
      <w:jc w:val="both"/>
      <w:rPr>
        <w:rFonts w:cs="Arial"/>
        <w:sz w:val="16"/>
        <w:szCs w:val="16"/>
      </w:rPr>
    </w:pPr>
    <w:r w:rsidRPr="00532287">
      <w:rPr>
        <w:rFonts w:cs="Arial"/>
        <w:sz w:val="16"/>
        <w:szCs w:val="16"/>
      </w:rPr>
      <w:t xml:space="preserve">Director of Forensic Disability Policy – </w:t>
    </w:r>
  </w:p>
  <w:p w14:paraId="5DA535E2" w14:textId="77777777" w:rsidR="003E11AF" w:rsidRPr="00532287" w:rsidRDefault="009F319F" w:rsidP="003E11AF">
    <w:pPr>
      <w:jc w:val="both"/>
      <w:rPr>
        <w:rFonts w:cs="Arial"/>
        <w:b/>
        <w:sz w:val="16"/>
        <w:szCs w:val="16"/>
      </w:rPr>
    </w:pPr>
    <w:r>
      <w:rPr>
        <w:rFonts w:cs="Arial"/>
        <w:b/>
        <w:sz w:val="16"/>
        <w:szCs w:val="16"/>
      </w:rPr>
      <w:t>Regulated Behaviour Control</w:t>
    </w:r>
  </w:p>
  <w:p w14:paraId="261107B4" w14:textId="77777777" w:rsidR="00327A7E" w:rsidRPr="003E11AF" w:rsidRDefault="009F319F" w:rsidP="003E11AF">
    <w:pPr>
      <w:pStyle w:val="Footer"/>
      <w:jc w:val="right"/>
      <w:rPr>
        <w:rFonts w:cs="Arial"/>
        <w:sz w:val="16"/>
        <w:szCs w:val="16"/>
      </w:rPr>
    </w:pPr>
    <w:r w:rsidRPr="00532287">
      <w:rPr>
        <w:rFonts w:cs="Arial"/>
        <w:bCs/>
        <w:sz w:val="16"/>
        <w:szCs w:val="16"/>
      </w:rPr>
      <w:fldChar w:fldCharType="begin"/>
    </w:r>
    <w:r w:rsidRPr="00532287">
      <w:rPr>
        <w:rFonts w:cs="Arial"/>
        <w:bCs/>
        <w:sz w:val="16"/>
        <w:szCs w:val="16"/>
      </w:rPr>
      <w:instrText xml:space="preserve"> PAGE </w:instrText>
    </w:r>
    <w:r w:rsidRPr="00532287">
      <w:rPr>
        <w:rFonts w:cs="Arial"/>
        <w:bCs/>
        <w:sz w:val="16"/>
        <w:szCs w:val="16"/>
      </w:rPr>
      <w:fldChar w:fldCharType="separate"/>
    </w:r>
    <w:r w:rsidR="000E2671">
      <w:rPr>
        <w:rFonts w:cs="Arial"/>
        <w:bCs/>
        <w:noProof/>
        <w:sz w:val="16"/>
        <w:szCs w:val="16"/>
      </w:rPr>
      <w:t>5</w:t>
    </w:r>
    <w:r w:rsidRPr="00532287">
      <w:rPr>
        <w:rFonts w:cs="Arial"/>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FDE2" w14:textId="4256F6B5" w:rsidR="003E11AF" w:rsidRDefault="00385C7F">
    <w:pPr>
      <w:pStyle w:val="Footer"/>
    </w:pPr>
    <w:r>
      <w:rPr>
        <w:noProof/>
      </w:rPr>
      <w:drawing>
        <wp:anchor distT="0" distB="0" distL="114300" distR="114300" simplePos="0" relativeHeight="251663360" behindDoc="1" locked="0" layoutInCell="1" allowOverlap="1" wp14:anchorId="79162152" wp14:editId="01AC1965">
          <wp:simplePos x="0" y="0"/>
          <wp:positionH relativeFrom="column">
            <wp:posOffset>-353695</wp:posOffset>
          </wp:positionH>
          <wp:positionV relativeFrom="page">
            <wp:posOffset>9605645</wp:posOffset>
          </wp:positionV>
          <wp:extent cx="2833370" cy="1069975"/>
          <wp:effectExtent l="0" t="0" r="5080" b="0"/>
          <wp:wrapNone/>
          <wp:docPr id="3" name="Picture 3" descr="2930_11_DF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30_11_DFD_footer"/>
                  <pic:cNvPicPr>
                    <a:picLocks noChangeAspect="1" noChangeArrowheads="1"/>
                  </pic:cNvPicPr>
                </pic:nvPicPr>
                <pic:blipFill>
                  <a:blip r:embed="rId1">
                    <a:extLst>
                      <a:ext uri="{28A0092B-C50C-407E-A947-70E740481C1C}">
                        <a14:useLocalDpi xmlns:a14="http://schemas.microsoft.com/office/drawing/2010/main" val="0"/>
                      </a:ext>
                    </a:extLst>
                  </a:blip>
                  <a:srcRect r="62463"/>
                  <a:stretch>
                    <a:fillRect/>
                  </a:stretch>
                </pic:blipFill>
                <pic:spPr bwMode="auto">
                  <a:xfrm>
                    <a:off x="0" y="0"/>
                    <a:ext cx="283337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1094531" wp14:editId="769FD450">
          <wp:simplePos x="0" y="0"/>
          <wp:positionH relativeFrom="column">
            <wp:posOffset>5182870</wp:posOffset>
          </wp:positionH>
          <wp:positionV relativeFrom="paragraph">
            <wp:posOffset>-194310</wp:posOffset>
          </wp:positionV>
          <wp:extent cx="571500" cy="723900"/>
          <wp:effectExtent l="0" t="0" r="0" b="0"/>
          <wp:wrapTight wrapText="bothSides">
            <wp:wrapPolygon edited="0">
              <wp:start x="7200" y="0"/>
              <wp:lineTo x="0" y="568"/>
              <wp:lineTo x="0" y="21032"/>
              <wp:lineTo x="20160" y="21032"/>
              <wp:lineTo x="20880" y="7389"/>
              <wp:lineTo x="20880" y="568"/>
              <wp:lineTo x="12240" y="0"/>
              <wp:lineTo x="7200" y="0"/>
            </wp:wrapPolygon>
          </wp:wrapTight>
          <wp:docPr id="1" name="Picture 1"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87FF" w14:textId="77777777" w:rsidR="00B21459" w:rsidRDefault="001D2981">
    <w:pPr>
      <w:pStyle w:val="Header"/>
    </w:pPr>
    <w:r>
      <w:rPr>
        <w:noProof/>
      </w:rPr>
      <w:drawing>
        <wp:anchor distT="0" distB="0" distL="114300" distR="114300" simplePos="0" relativeHeight="251657216" behindDoc="1" locked="0" layoutInCell="1" allowOverlap="1" wp14:anchorId="4B364953" wp14:editId="7CA7C672">
          <wp:simplePos x="0" y="0"/>
          <wp:positionH relativeFrom="column">
            <wp:posOffset>-720090</wp:posOffset>
          </wp:positionH>
          <wp:positionV relativeFrom="paragraph">
            <wp:posOffset>-450215</wp:posOffset>
          </wp:positionV>
          <wp:extent cx="7562849" cy="10689675"/>
          <wp:effectExtent l="0" t="0" r="635" b="0"/>
          <wp:wrapNone/>
          <wp:docPr id="2" name="Picture 2"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2297" w14:textId="77777777" w:rsidR="00507C22" w:rsidRPr="00507C22" w:rsidRDefault="00507C22" w:rsidP="00507C22">
    <w:pPr>
      <w:pStyle w:val="Header"/>
    </w:pPr>
    <w:r>
      <w:rPr>
        <w:noProof/>
      </w:rPr>
      <w:drawing>
        <wp:anchor distT="0" distB="0" distL="114300" distR="114300" simplePos="0" relativeHeight="251659264" behindDoc="1" locked="0" layoutInCell="1" allowOverlap="1" wp14:anchorId="4B7506B0" wp14:editId="6514004B">
          <wp:simplePos x="0" y="0"/>
          <wp:positionH relativeFrom="page">
            <wp:posOffset>0</wp:posOffset>
          </wp:positionH>
          <wp:positionV relativeFrom="page">
            <wp:posOffset>8353</wp:posOffset>
          </wp:positionV>
          <wp:extent cx="7563599" cy="10690735"/>
          <wp:effectExtent l="0" t="0" r="0" b="0"/>
          <wp:wrapNone/>
          <wp:docPr id="4" name="Picture 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5320" w14:textId="77777777" w:rsidR="0004275D" w:rsidRDefault="00227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F397" w14:textId="44F786B9" w:rsidR="003E11AF" w:rsidRDefault="00385C7F">
    <w:pPr>
      <w:pStyle w:val="Header"/>
    </w:pPr>
    <w:r>
      <w:rPr>
        <w:noProof/>
      </w:rPr>
      <w:drawing>
        <wp:anchor distT="0" distB="0" distL="114300" distR="114300" simplePos="0" relativeHeight="251662336" behindDoc="0" locked="0" layoutInCell="1" allowOverlap="1" wp14:anchorId="127891DD" wp14:editId="559B617B">
          <wp:simplePos x="0" y="0"/>
          <wp:positionH relativeFrom="column">
            <wp:posOffset>-2975610</wp:posOffset>
          </wp:positionH>
          <wp:positionV relativeFrom="page">
            <wp:posOffset>635</wp:posOffset>
          </wp:positionV>
          <wp:extent cx="11727180" cy="810260"/>
          <wp:effectExtent l="0" t="0" r="7620" b="8890"/>
          <wp:wrapNone/>
          <wp:docPr id="6" name="Picture 6" descr="2930_11_DF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30_11_DF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718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6B8F" w14:textId="60C9ADA7" w:rsidR="008544AB" w:rsidRDefault="00385C7F">
    <w:pPr>
      <w:pStyle w:val="Header"/>
    </w:pPr>
    <w:r>
      <w:rPr>
        <w:noProof/>
      </w:rPr>
      <w:drawing>
        <wp:anchor distT="0" distB="0" distL="114300" distR="114300" simplePos="0" relativeHeight="251661312" behindDoc="0" locked="0" layoutInCell="1" allowOverlap="1" wp14:anchorId="36807505" wp14:editId="7FFB250F">
          <wp:simplePos x="0" y="0"/>
          <wp:positionH relativeFrom="column">
            <wp:posOffset>-1619250</wp:posOffset>
          </wp:positionH>
          <wp:positionV relativeFrom="page">
            <wp:posOffset>0</wp:posOffset>
          </wp:positionV>
          <wp:extent cx="8658225" cy="1671955"/>
          <wp:effectExtent l="0" t="0" r="9525" b="4445"/>
          <wp:wrapNone/>
          <wp:docPr id="5" name="Picture 5" descr="2930_11_DF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30_11_DF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8225" cy="1671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752"/>
    <w:multiLevelType w:val="hybridMultilevel"/>
    <w:tmpl w:val="CBC8579C"/>
    <w:lvl w:ilvl="0" w:tplc="51AA6D78">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C3D01"/>
    <w:multiLevelType w:val="hybridMultilevel"/>
    <w:tmpl w:val="0A92FC74"/>
    <w:lvl w:ilvl="0" w:tplc="840666C2">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F7A8A"/>
    <w:multiLevelType w:val="hybridMultilevel"/>
    <w:tmpl w:val="97CE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75902"/>
    <w:multiLevelType w:val="hybridMultilevel"/>
    <w:tmpl w:val="7312FEF8"/>
    <w:lvl w:ilvl="0" w:tplc="B3E29AB4">
      <w:start w:val="1"/>
      <w:numFmt w:val="lowerLetter"/>
      <w:lvlText w:val="(%1)"/>
      <w:lvlJc w:val="left"/>
      <w:pPr>
        <w:ind w:left="646" w:hanging="362"/>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3C6719"/>
    <w:multiLevelType w:val="hybridMultilevel"/>
    <w:tmpl w:val="CEA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E2A6C"/>
    <w:multiLevelType w:val="hybridMultilevel"/>
    <w:tmpl w:val="64FC9A6A"/>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6" w15:restartNumberingAfterBreak="0">
    <w:nsid w:val="19810DB6"/>
    <w:multiLevelType w:val="multilevel"/>
    <w:tmpl w:val="69ECE5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ascii="Arial" w:hAnsi="Arial" w:cs="Arial" w:hint="default"/>
        <w:i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93514E"/>
    <w:multiLevelType w:val="hybridMultilevel"/>
    <w:tmpl w:val="D898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736B2"/>
    <w:multiLevelType w:val="hybridMultilevel"/>
    <w:tmpl w:val="238C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10296D"/>
    <w:multiLevelType w:val="multilevel"/>
    <w:tmpl w:val="1A6C0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964C5A"/>
    <w:multiLevelType w:val="hybridMultilevel"/>
    <w:tmpl w:val="99AE3950"/>
    <w:lvl w:ilvl="0" w:tplc="840666C2">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B0F7A"/>
    <w:multiLevelType w:val="hybridMultilevel"/>
    <w:tmpl w:val="BB346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853C8"/>
    <w:multiLevelType w:val="multilevel"/>
    <w:tmpl w:val="34CCD568"/>
    <w:lvl w:ilvl="0">
      <w:start w:val="1"/>
      <w:numFmt w:val="decimal"/>
      <w:lvlText w:val="%1."/>
      <w:lvlJc w:val="left"/>
      <w:pPr>
        <w:ind w:left="643"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E36E63"/>
    <w:multiLevelType w:val="multilevel"/>
    <w:tmpl w:val="1A6C0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D36EA"/>
    <w:multiLevelType w:val="multilevel"/>
    <w:tmpl w:val="C158C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D23A2"/>
    <w:multiLevelType w:val="multilevel"/>
    <w:tmpl w:val="C158CE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2A4D"/>
    <w:multiLevelType w:val="hybridMultilevel"/>
    <w:tmpl w:val="0C8EF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A36F4"/>
    <w:multiLevelType w:val="hybridMultilevel"/>
    <w:tmpl w:val="EF3EA862"/>
    <w:lvl w:ilvl="0" w:tplc="0C090001">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DC6E3E"/>
    <w:multiLevelType w:val="multilevel"/>
    <w:tmpl w:val="D54EA978"/>
    <w:lvl w:ilvl="0">
      <w:start w:val="3"/>
      <w:numFmt w:val="decimal"/>
      <w:lvlText w:val="%1."/>
      <w:lvlJc w:val="left"/>
      <w:pPr>
        <w:ind w:left="482" w:hanging="48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5EE1E65"/>
    <w:multiLevelType w:val="hybridMultilevel"/>
    <w:tmpl w:val="5AC0E318"/>
    <w:lvl w:ilvl="0" w:tplc="0C090001">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B27BE0"/>
    <w:multiLevelType w:val="multilevel"/>
    <w:tmpl w:val="D54EA978"/>
    <w:lvl w:ilvl="0">
      <w:start w:val="3"/>
      <w:numFmt w:val="decimal"/>
      <w:lvlText w:val="%1."/>
      <w:lvlJc w:val="left"/>
      <w:pPr>
        <w:ind w:left="482" w:hanging="48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82815FF"/>
    <w:multiLevelType w:val="hybridMultilevel"/>
    <w:tmpl w:val="6D1658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06311D"/>
    <w:multiLevelType w:val="hybridMultilevel"/>
    <w:tmpl w:val="5E4AB808"/>
    <w:lvl w:ilvl="0" w:tplc="CFA68C56">
      <w:start w:val="1"/>
      <w:numFmt w:val="bullet"/>
      <w:lvlText w:val=""/>
      <w:lvlJc w:val="left"/>
      <w:pPr>
        <w:ind w:left="646" w:hanging="362"/>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262B5"/>
    <w:multiLevelType w:val="hybridMultilevel"/>
    <w:tmpl w:val="F8D4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7C3618"/>
    <w:multiLevelType w:val="hybridMultilevel"/>
    <w:tmpl w:val="576A0884"/>
    <w:lvl w:ilvl="0" w:tplc="15E2FBC2">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11205B"/>
    <w:multiLevelType w:val="hybridMultilevel"/>
    <w:tmpl w:val="E8640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A10F9F"/>
    <w:multiLevelType w:val="multilevel"/>
    <w:tmpl w:val="3E3613C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DC4D35"/>
    <w:multiLevelType w:val="hybridMultilevel"/>
    <w:tmpl w:val="9A3C8ED2"/>
    <w:lvl w:ilvl="0" w:tplc="DA2A337C">
      <w:start w:val="3"/>
      <w:numFmt w:val="decimal"/>
      <w:lvlText w:val="%1."/>
      <w:lvlJc w:val="left"/>
      <w:pPr>
        <w:ind w:left="482" w:hanging="48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660769"/>
    <w:multiLevelType w:val="hybridMultilevel"/>
    <w:tmpl w:val="E72E729E"/>
    <w:lvl w:ilvl="0" w:tplc="0C090001">
      <w:start w:val="1"/>
      <w:numFmt w:val="bullet"/>
      <w:lvlText w:val=""/>
      <w:lvlJc w:val="left"/>
      <w:pPr>
        <w:ind w:left="482" w:hanging="482"/>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2105C4"/>
    <w:multiLevelType w:val="multilevel"/>
    <w:tmpl w:val="69ECE5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ascii="Arial" w:hAnsi="Arial" w:cs="Arial" w:hint="default"/>
        <w:i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3A2C59"/>
    <w:multiLevelType w:val="hybridMultilevel"/>
    <w:tmpl w:val="21F29A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56287AF4"/>
    <w:multiLevelType w:val="hybridMultilevel"/>
    <w:tmpl w:val="17520694"/>
    <w:lvl w:ilvl="0" w:tplc="51AA6D78">
      <w:start w:val="1"/>
      <w:numFmt w:val="bullet"/>
      <w:lvlText w:val=""/>
      <w:lvlJc w:val="left"/>
      <w:pPr>
        <w:ind w:left="644" w:hanging="28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8E5384"/>
    <w:multiLevelType w:val="multilevel"/>
    <w:tmpl w:val="803A94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1166C1"/>
    <w:multiLevelType w:val="hybridMultilevel"/>
    <w:tmpl w:val="AD70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4271A3"/>
    <w:multiLevelType w:val="multilevel"/>
    <w:tmpl w:val="2A428C36"/>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B7D03"/>
    <w:multiLevelType w:val="hybridMultilevel"/>
    <w:tmpl w:val="5A5C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73098B"/>
    <w:multiLevelType w:val="hybridMultilevel"/>
    <w:tmpl w:val="316421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A2348"/>
    <w:multiLevelType w:val="hybridMultilevel"/>
    <w:tmpl w:val="22D21FA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C6CD0"/>
    <w:multiLevelType w:val="hybridMultilevel"/>
    <w:tmpl w:val="41023C0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184C23"/>
    <w:multiLevelType w:val="multilevel"/>
    <w:tmpl w:val="1A6C0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207138"/>
    <w:multiLevelType w:val="hybridMultilevel"/>
    <w:tmpl w:val="A720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AE3DB4"/>
    <w:multiLevelType w:val="hybridMultilevel"/>
    <w:tmpl w:val="A984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106848"/>
    <w:multiLevelType w:val="hybridMultilevel"/>
    <w:tmpl w:val="BB82E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8D7613"/>
    <w:multiLevelType w:val="hybridMultilevel"/>
    <w:tmpl w:val="129C2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6"/>
  </w:num>
  <w:num w:numId="3">
    <w:abstractNumId w:val="36"/>
  </w:num>
  <w:num w:numId="4">
    <w:abstractNumId w:val="39"/>
  </w:num>
  <w:num w:numId="5">
    <w:abstractNumId w:val="37"/>
  </w:num>
  <w:num w:numId="6">
    <w:abstractNumId w:val="34"/>
  </w:num>
  <w:num w:numId="7">
    <w:abstractNumId w:val="31"/>
  </w:num>
  <w:num w:numId="8">
    <w:abstractNumId w:val="4"/>
  </w:num>
  <w:num w:numId="9">
    <w:abstractNumId w:val="41"/>
  </w:num>
  <w:num w:numId="10">
    <w:abstractNumId w:val="25"/>
  </w:num>
  <w:num w:numId="11">
    <w:abstractNumId w:val="42"/>
  </w:num>
  <w:num w:numId="12">
    <w:abstractNumId w:val="33"/>
  </w:num>
  <w:num w:numId="13">
    <w:abstractNumId w:val="7"/>
  </w:num>
  <w:num w:numId="14">
    <w:abstractNumId w:val="10"/>
  </w:num>
  <w:num w:numId="15">
    <w:abstractNumId w:val="12"/>
  </w:num>
  <w:num w:numId="16">
    <w:abstractNumId w:val="38"/>
  </w:num>
  <w:num w:numId="17">
    <w:abstractNumId w:val="28"/>
  </w:num>
  <w:num w:numId="18">
    <w:abstractNumId w:val="40"/>
  </w:num>
  <w:num w:numId="19">
    <w:abstractNumId w:val="9"/>
  </w:num>
  <w:num w:numId="20">
    <w:abstractNumId w:val="13"/>
  </w:num>
  <w:num w:numId="21">
    <w:abstractNumId w:val="18"/>
  </w:num>
  <w:num w:numId="22">
    <w:abstractNumId w:val="20"/>
  </w:num>
  <w:num w:numId="23">
    <w:abstractNumId w:val="1"/>
  </w:num>
  <w:num w:numId="24">
    <w:abstractNumId w:val="32"/>
  </w:num>
  <w:num w:numId="25">
    <w:abstractNumId w:val="2"/>
  </w:num>
  <w:num w:numId="26">
    <w:abstractNumId w:val="0"/>
  </w:num>
  <w:num w:numId="27">
    <w:abstractNumId w:val="5"/>
  </w:num>
  <w:num w:numId="28">
    <w:abstractNumId w:val="44"/>
  </w:num>
  <w:num w:numId="29">
    <w:abstractNumId w:val="29"/>
  </w:num>
  <w:num w:numId="30">
    <w:abstractNumId w:val="19"/>
  </w:num>
  <w:num w:numId="31">
    <w:abstractNumId w:val="26"/>
  </w:num>
  <w:num w:numId="32">
    <w:abstractNumId w:val="6"/>
  </w:num>
  <w:num w:numId="33">
    <w:abstractNumId w:val="11"/>
  </w:num>
  <w:num w:numId="34">
    <w:abstractNumId w:val="23"/>
  </w:num>
  <w:num w:numId="35">
    <w:abstractNumId w:val="14"/>
  </w:num>
  <w:num w:numId="36">
    <w:abstractNumId w:val="15"/>
  </w:num>
  <w:num w:numId="37">
    <w:abstractNumId w:val="27"/>
  </w:num>
  <w:num w:numId="38">
    <w:abstractNumId w:val="30"/>
  </w:num>
  <w:num w:numId="39">
    <w:abstractNumId w:val="22"/>
  </w:num>
  <w:num w:numId="40">
    <w:abstractNumId w:val="3"/>
  </w:num>
  <w:num w:numId="41">
    <w:abstractNumId w:val="21"/>
  </w:num>
  <w:num w:numId="42">
    <w:abstractNumId w:val="17"/>
  </w:num>
  <w:num w:numId="43">
    <w:abstractNumId w:val="8"/>
  </w:num>
  <w:num w:numId="44">
    <w:abstractNumId w:val="35"/>
  </w:num>
  <w:num w:numId="45">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648B"/>
    <w:rsid w:val="00041261"/>
    <w:rsid w:val="00043E59"/>
    <w:rsid w:val="000442EB"/>
    <w:rsid w:val="00050193"/>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2671"/>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21C"/>
    <w:rsid w:val="00130C1C"/>
    <w:rsid w:val="00133095"/>
    <w:rsid w:val="0013414A"/>
    <w:rsid w:val="0013444A"/>
    <w:rsid w:val="00135734"/>
    <w:rsid w:val="0013646B"/>
    <w:rsid w:val="00142536"/>
    <w:rsid w:val="00142DB3"/>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448E"/>
    <w:rsid w:val="001D5559"/>
    <w:rsid w:val="001D7B03"/>
    <w:rsid w:val="001E043D"/>
    <w:rsid w:val="001E47F8"/>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3F87"/>
    <w:rsid w:val="002140B9"/>
    <w:rsid w:val="002203A6"/>
    <w:rsid w:val="00226951"/>
    <w:rsid w:val="00226BFA"/>
    <w:rsid w:val="00226D91"/>
    <w:rsid w:val="00227A7C"/>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5FD0"/>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488"/>
    <w:rsid w:val="00322C3D"/>
    <w:rsid w:val="00323C8B"/>
    <w:rsid w:val="0032578E"/>
    <w:rsid w:val="00325B61"/>
    <w:rsid w:val="00326E26"/>
    <w:rsid w:val="00333B37"/>
    <w:rsid w:val="0033480A"/>
    <w:rsid w:val="003353E4"/>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C7F"/>
    <w:rsid w:val="00386445"/>
    <w:rsid w:val="00387253"/>
    <w:rsid w:val="00387977"/>
    <w:rsid w:val="00387E72"/>
    <w:rsid w:val="00390F37"/>
    <w:rsid w:val="00393B3D"/>
    <w:rsid w:val="00393B64"/>
    <w:rsid w:val="00394A26"/>
    <w:rsid w:val="00394CE2"/>
    <w:rsid w:val="00396B73"/>
    <w:rsid w:val="003975E5"/>
    <w:rsid w:val="003A080A"/>
    <w:rsid w:val="003A0968"/>
    <w:rsid w:val="003A0C94"/>
    <w:rsid w:val="003A2839"/>
    <w:rsid w:val="003A2B78"/>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1FD7"/>
    <w:rsid w:val="003E2518"/>
    <w:rsid w:val="003E44B5"/>
    <w:rsid w:val="003E5710"/>
    <w:rsid w:val="003E57A0"/>
    <w:rsid w:val="003E5DB7"/>
    <w:rsid w:val="003E656D"/>
    <w:rsid w:val="003E6D97"/>
    <w:rsid w:val="003E7C50"/>
    <w:rsid w:val="003F12D9"/>
    <w:rsid w:val="003F2250"/>
    <w:rsid w:val="003F23A0"/>
    <w:rsid w:val="003F43AA"/>
    <w:rsid w:val="003F5FFA"/>
    <w:rsid w:val="003F6637"/>
    <w:rsid w:val="003F732D"/>
    <w:rsid w:val="003F7835"/>
    <w:rsid w:val="003F78B9"/>
    <w:rsid w:val="00402066"/>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819"/>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D71"/>
    <w:rsid w:val="004E300E"/>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2DB"/>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11CA"/>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391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BFE"/>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0D9"/>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5E07"/>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07B"/>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7FA"/>
    <w:rsid w:val="007A5855"/>
    <w:rsid w:val="007A64B6"/>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3E2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149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684"/>
    <w:rsid w:val="009E73B5"/>
    <w:rsid w:val="009F06BB"/>
    <w:rsid w:val="009F319F"/>
    <w:rsid w:val="009F3AAE"/>
    <w:rsid w:val="009F503F"/>
    <w:rsid w:val="00A01078"/>
    <w:rsid w:val="00A01C47"/>
    <w:rsid w:val="00A01C84"/>
    <w:rsid w:val="00A02B2B"/>
    <w:rsid w:val="00A03D81"/>
    <w:rsid w:val="00A05917"/>
    <w:rsid w:val="00A0606D"/>
    <w:rsid w:val="00A1080B"/>
    <w:rsid w:val="00A10FBF"/>
    <w:rsid w:val="00A12574"/>
    <w:rsid w:val="00A16644"/>
    <w:rsid w:val="00A201BE"/>
    <w:rsid w:val="00A20720"/>
    <w:rsid w:val="00A21D0E"/>
    <w:rsid w:val="00A23052"/>
    <w:rsid w:val="00A231EE"/>
    <w:rsid w:val="00A23C64"/>
    <w:rsid w:val="00A244B0"/>
    <w:rsid w:val="00A247F2"/>
    <w:rsid w:val="00A27292"/>
    <w:rsid w:val="00A27E00"/>
    <w:rsid w:val="00A31221"/>
    <w:rsid w:val="00A312C4"/>
    <w:rsid w:val="00A32E6B"/>
    <w:rsid w:val="00A364D6"/>
    <w:rsid w:val="00A40622"/>
    <w:rsid w:val="00A456C5"/>
    <w:rsid w:val="00A45B77"/>
    <w:rsid w:val="00A45BEB"/>
    <w:rsid w:val="00A46992"/>
    <w:rsid w:val="00A50BCC"/>
    <w:rsid w:val="00A51E82"/>
    <w:rsid w:val="00A5248E"/>
    <w:rsid w:val="00A52E07"/>
    <w:rsid w:val="00A539A4"/>
    <w:rsid w:val="00A55525"/>
    <w:rsid w:val="00A57CB5"/>
    <w:rsid w:val="00A61769"/>
    <w:rsid w:val="00A6346E"/>
    <w:rsid w:val="00A653E6"/>
    <w:rsid w:val="00A6611E"/>
    <w:rsid w:val="00A67063"/>
    <w:rsid w:val="00A675FF"/>
    <w:rsid w:val="00A700E9"/>
    <w:rsid w:val="00A70E7C"/>
    <w:rsid w:val="00A71CCC"/>
    <w:rsid w:val="00A72AD1"/>
    <w:rsid w:val="00A72B58"/>
    <w:rsid w:val="00A72C57"/>
    <w:rsid w:val="00A751E1"/>
    <w:rsid w:val="00A753D2"/>
    <w:rsid w:val="00A75C27"/>
    <w:rsid w:val="00A7629C"/>
    <w:rsid w:val="00A76C04"/>
    <w:rsid w:val="00A802DF"/>
    <w:rsid w:val="00A82E0E"/>
    <w:rsid w:val="00A834BE"/>
    <w:rsid w:val="00A8351E"/>
    <w:rsid w:val="00A90291"/>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61E2"/>
    <w:rsid w:val="00AE6D22"/>
    <w:rsid w:val="00AE6FDE"/>
    <w:rsid w:val="00AF0F41"/>
    <w:rsid w:val="00AF1635"/>
    <w:rsid w:val="00AF29D8"/>
    <w:rsid w:val="00AF308E"/>
    <w:rsid w:val="00AF3602"/>
    <w:rsid w:val="00AF3C02"/>
    <w:rsid w:val="00AF427E"/>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16CA"/>
    <w:rsid w:val="00B52C0E"/>
    <w:rsid w:val="00B5331C"/>
    <w:rsid w:val="00B54622"/>
    <w:rsid w:val="00B549B6"/>
    <w:rsid w:val="00B555E8"/>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201"/>
    <w:rsid w:val="00C12FA1"/>
    <w:rsid w:val="00C139CF"/>
    <w:rsid w:val="00C14F1E"/>
    <w:rsid w:val="00C16576"/>
    <w:rsid w:val="00C165EA"/>
    <w:rsid w:val="00C17081"/>
    <w:rsid w:val="00C17BF0"/>
    <w:rsid w:val="00C20D7D"/>
    <w:rsid w:val="00C20EF6"/>
    <w:rsid w:val="00C21BD1"/>
    <w:rsid w:val="00C24C1D"/>
    <w:rsid w:val="00C25738"/>
    <w:rsid w:val="00C25974"/>
    <w:rsid w:val="00C26C63"/>
    <w:rsid w:val="00C30B97"/>
    <w:rsid w:val="00C31981"/>
    <w:rsid w:val="00C31F16"/>
    <w:rsid w:val="00C323EC"/>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02E0"/>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3C60"/>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672"/>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285"/>
    <w:rsid w:val="00D14B36"/>
    <w:rsid w:val="00D15621"/>
    <w:rsid w:val="00D2221E"/>
    <w:rsid w:val="00D25BAC"/>
    <w:rsid w:val="00D26BAF"/>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1604"/>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2834"/>
    <w:rsid w:val="00E83B43"/>
    <w:rsid w:val="00E8477D"/>
    <w:rsid w:val="00E85BC9"/>
    <w:rsid w:val="00E8665B"/>
    <w:rsid w:val="00E86F93"/>
    <w:rsid w:val="00E87AD2"/>
    <w:rsid w:val="00E87E54"/>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C7FD5"/>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070E"/>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E47"/>
    <w:rsid w:val="00F37F68"/>
    <w:rsid w:val="00F40AAE"/>
    <w:rsid w:val="00F41177"/>
    <w:rsid w:val="00F4345C"/>
    <w:rsid w:val="00F43517"/>
    <w:rsid w:val="00F464A2"/>
    <w:rsid w:val="00F46FE3"/>
    <w:rsid w:val="00F47D26"/>
    <w:rsid w:val="00F5125C"/>
    <w:rsid w:val="00F517E0"/>
    <w:rsid w:val="00F51A2F"/>
    <w:rsid w:val="00F523EB"/>
    <w:rsid w:val="00F52B97"/>
    <w:rsid w:val="00F53A9F"/>
    <w:rsid w:val="00F603AD"/>
    <w:rsid w:val="00F61593"/>
    <w:rsid w:val="00F63069"/>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C5D0E"/>
    <w:rsid w:val="00FD2D8D"/>
    <w:rsid w:val="00FD34DF"/>
    <w:rsid w:val="00FD355B"/>
    <w:rsid w:val="00FD3628"/>
    <w:rsid w:val="00FD4003"/>
    <w:rsid w:val="00FD4F88"/>
    <w:rsid w:val="00FD6AB4"/>
    <w:rsid w:val="00FD7D5E"/>
    <w:rsid w:val="00FE2506"/>
    <w:rsid w:val="00FE2B1A"/>
    <w:rsid w:val="00FE2F50"/>
    <w:rsid w:val="00FE4FE9"/>
    <w:rsid w:val="00FE5273"/>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qFormat/>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uiPriority w:val="1"/>
    <w:qFormat/>
    <w:rsid w:val="00D40614"/>
    <w:pPr>
      <w:spacing w:after="60"/>
    </w:pPr>
    <w:rPr>
      <w:b/>
      <w:position w:val="3"/>
    </w:rPr>
  </w:style>
  <w:style w:type="character" w:customStyle="1" w:styleId="BodyTextChar">
    <w:name w:val="Body Text Char"/>
    <w:link w:val="BodyText"/>
    <w:uiPriority w:val="1"/>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character" w:styleId="FollowedHyperlink">
    <w:name w:val="FollowedHyperlink"/>
    <w:basedOn w:val="DefaultParagraphFont"/>
    <w:rsid w:val="00E87E54"/>
    <w:rPr>
      <w:color w:val="800080" w:themeColor="followedHyperlink"/>
      <w:u w:val="single"/>
    </w:rPr>
  </w:style>
  <w:style w:type="paragraph" w:styleId="NormalWeb">
    <w:name w:val="Normal (Web)"/>
    <w:basedOn w:val="Normal"/>
    <w:uiPriority w:val="99"/>
    <w:unhideWhenUsed/>
    <w:rsid w:val="005D391E"/>
    <w:pPr>
      <w:spacing w:before="100" w:beforeAutospacing="1" w:after="100" w:afterAutospacing="1"/>
    </w:pPr>
    <w:rPr>
      <w:rFonts w:ascii="Times New Roman" w:hAnsi="Times New Roman"/>
      <w:sz w:val="24"/>
    </w:rPr>
  </w:style>
  <w:style w:type="paragraph" w:styleId="FootnoteText">
    <w:name w:val="footnote text"/>
    <w:basedOn w:val="Normal"/>
    <w:link w:val="FootnoteTextChar"/>
    <w:rsid w:val="005D391E"/>
    <w:pPr>
      <w:spacing w:after="0"/>
    </w:pPr>
    <w:rPr>
      <w:rFonts w:ascii="Times New Roman" w:hAnsi="Times New Roman"/>
      <w:sz w:val="20"/>
      <w:szCs w:val="20"/>
    </w:rPr>
  </w:style>
  <w:style w:type="character" w:customStyle="1" w:styleId="FootnoteTextChar">
    <w:name w:val="Footnote Text Char"/>
    <w:basedOn w:val="DefaultParagraphFont"/>
    <w:link w:val="FootnoteText"/>
    <w:rsid w:val="005D391E"/>
  </w:style>
  <w:style w:type="character" w:styleId="FootnoteReference">
    <w:name w:val="footnote reference"/>
    <w:rsid w:val="005D391E"/>
    <w:rPr>
      <w:vertAlign w:val="superscript"/>
    </w:rPr>
  </w:style>
  <w:style w:type="character" w:styleId="UnresolvedMention">
    <w:name w:val="Unresolved Mention"/>
    <w:basedOn w:val="DefaultParagraphFont"/>
    <w:uiPriority w:val="99"/>
    <w:semiHidden/>
    <w:unhideWhenUsed/>
    <w:rsid w:val="00713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4E5A3-E909-48BA-A9D2-B7D0A016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Human Rights</vt:lpstr>
    </vt:vector>
  </TitlesOfParts>
  <Manager/>
  <Company>Queensland Government</Company>
  <LinksUpToDate>false</LinksUpToDate>
  <CharactersWithSpaces>5744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dc:title>
  <dc:subject>Human Rights Policy</dc:subject>
  <dc:creator>Director of Forensic Disability</dc:creator>
  <cp:keywords>operational; policy; human; rights; forensic; disability; client</cp:keywords>
  <cp:lastModifiedBy>Elizabeth M Lane</cp:lastModifiedBy>
  <cp:revision>3</cp:revision>
  <cp:lastPrinted>2022-12-19T23:08:00Z</cp:lastPrinted>
  <dcterms:created xsi:type="dcterms:W3CDTF">2022-12-21T23:36:00Z</dcterms:created>
  <dcterms:modified xsi:type="dcterms:W3CDTF">2022-12-23T04:02:00Z</dcterms:modified>
  <cp:category>Human Rights Policy</cp:category>
</cp:coreProperties>
</file>