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7382" w14:textId="77777777" w:rsidR="00615C0F" w:rsidRPr="00DE7318" w:rsidRDefault="006E07CA" w:rsidP="00DE7318">
      <w:pPr>
        <w:pStyle w:val="Heading1"/>
        <w:jc w:val="center"/>
        <w:rPr>
          <w:szCs w:val="48"/>
        </w:rPr>
      </w:pPr>
      <w:r w:rsidRPr="00DE7318">
        <w:rPr>
          <w:szCs w:val="48"/>
        </w:rPr>
        <w:t>Director of Forensic Disability</w:t>
      </w:r>
    </w:p>
    <w:p w14:paraId="3FB9128D" w14:textId="77777777" w:rsidR="00615C0F" w:rsidRPr="00DE7318" w:rsidRDefault="00615C0F" w:rsidP="00DE7318">
      <w:pPr>
        <w:pStyle w:val="Heading1"/>
        <w:jc w:val="center"/>
        <w:rPr>
          <w:szCs w:val="48"/>
        </w:rPr>
      </w:pPr>
      <w:r w:rsidRPr="00DE7318">
        <w:rPr>
          <w:szCs w:val="48"/>
        </w:rPr>
        <w:t>POLICY</w:t>
      </w:r>
    </w:p>
    <w:p w14:paraId="3A097A46" w14:textId="77777777" w:rsidR="00DE7318" w:rsidRPr="00EE46E8" w:rsidRDefault="00DE7318" w:rsidP="00DE7318">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sidR="008F400D" w:rsidRPr="003E73F9">
        <w:rPr>
          <w:b w:val="0"/>
          <w:sz w:val="32"/>
        </w:rPr>
        <w:t>The Keeping of Records at the Forensic Disability Service</w:t>
      </w:r>
    </w:p>
    <w:p w14:paraId="18A49B1C" w14:textId="77777777" w:rsidR="00D95A67" w:rsidRPr="00650651" w:rsidRDefault="00D95A67" w:rsidP="002E1557">
      <w:pPr>
        <w:pStyle w:val="Heading2"/>
        <w:rPr>
          <w:szCs w:val="24"/>
        </w:rPr>
      </w:pPr>
      <w:r w:rsidRPr="00650651">
        <w:rPr>
          <w:szCs w:val="24"/>
        </w:rPr>
        <w:t>Policy Statement</w:t>
      </w:r>
    </w:p>
    <w:p w14:paraId="7DDF462D" w14:textId="77777777" w:rsidR="00C0355E" w:rsidRPr="009E1939" w:rsidRDefault="00C0355E" w:rsidP="00A04215">
      <w:pPr>
        <w:suppressAutoHyphens/>
        <w:autoSpaceDE w:val="0"/>
        <w:autoSpaceDN w:val="0"/>
        <w:adjustRightInd w:val="0"/>
      </w:pPr>
      <w:r w:rsidRPr="009E1939">
        <w:t>The keeping of records is an important factor in the protection, care and support of forensic disability clients detained in the Forensic Disability Service (FDS).</w:t>
      </w:r>
    </w:p>
    <w:p w14:paraId="799437B6" w14:textId="53CF521E" w:rsidR="00C0355E" w:rsidRPr="009E1939" w:rsidRDefault="00C0355E" w:rsidP="00A04215">
      <w:pPr>
        <w:suppressAutoHyphens/>
        <w:autoSpaceDE w:val="0"/>
        <w:autoSpaceDN w:val="0"/>
        <w:adjustRightInd w:val="0"/>
      </w:pPr>
      <w:r w:rsidRPr="009E1939">
        <w:t xml:space="preserve">This </w:t>
      </w:r>
      <w:r w:rsidR="00877818">
        <w:t>p</w:t>
      </w:r>
      <w:r w:rsidRPr="009E1939">
        <w:t xml:space="preserve">olicy outlines the Director of Forensic Disability </w:t>
      </w:r>
      <w:r w:rsidR="00877818">
        <w:t>p</w:t>
      </w:r>
      <w:r w:rsidRPr="009E1939">
        <w:t>olicy with regard to re</w:t>
      </w:r>
      <w:r w:rsidR="00D77620">
        <w:t>cord</w:t>
      </w:r>
      <w:r w:rsidRPr="009E1939">
        <w:t>keeping at the F</w:t>
      </w:r>
      <w:r>
        <w:t>DS</w:t>
      </w:r>
      <w:r w:rsidRPr="009E1939">
        <w:t>.</w:t>
      </w:r>
    </w:p>
    <w:p w14:paraId="462A3BA0" w14:textId="77777777" w:rsidR="00C0355E" w:rsidRPr="009E1939" w:rsidRDefault="00C0355E" w:rsidP="00A04215">
      <w:pPr>
        <w:pStyle w:val="Heading2"/>
      </w:pPr>
      <w:r w:rsidRPr="009E1939">
        <w:t>Purpose</w:t>
      </w:r>
    </w:p>
    <w:p w14:paraId="5D3E425D" w14:textId="538E2AFB" w:rsidR="00C0355E" w:rsidRDefault="00C0355E" w:rsidP="00A04215">
      <w:r w:rsidRPr="009E1939">
        <w:t xml:space="preserve">The purpose of this </w:t>
      </w:r>
      <w:r w:rsidR="00877818">
        <w:t>p</w:t>
      </w:r>
      <w:r w:rsidRPr="009E1939">
        <w:t xml:space="preserve">olicy is </w:t>
      </w:r>
      <w:r w:rsidRPr="007A1F7C">
        <w:t>to outline the relevant</w:t>
      </w:r>
      <w:r w:rsidR="00D77620">
        <w:t xml:space="preserve"> record</w:t>
      </w:r>
      <w:r w:rsidRPr="007A1F7C">
        <w:t xml:space="preserve">keeping provisions of the </w:t>
      </w:r>
      <w:r w:rsidRPr="007A1F7C">
        <w:rPr>
          <w:i/>
        </w:rPr>
        <w:t xml:space="preserve">Forensic Disability Act 2011 </w:t>
      </w:r>
      <w:r w:rsidRPr="007A1F7C">
        <w:t xml:space="preserve">(the Act) </w:t>
      </w:r>
      <w:r>
        <w:t xml:space="preserve">to </w:t>
      </w:r>
      <w:r w:rsidRPr="009E1939">
        <w:t>ensure that the Director of Forensic Disability can monitor and audit compliance with the</w:t>
      </w:r>
      <w:r>
        <w:t xml:space="preserve"> Act</w:t>
      </w:r>
      <w:r w:rsidRPr="009E1939">
        <w:t xml:space="preserve">. </w:t>
      </w:r>
    </w:p>
    <w:p w14:paraId="3884D070" w14:textId="77777777" w:rsidR="00C0355E" w:rsidRDefault="00C0355E" w:rsidP="00A04215">
      <w:r>
        <w:t xml:space="preserve">The purpose of making and keeping full and accurate records at the FDS is to ensure that decisions about a client’s overall management, care and support are consistently created and managed to a sufficient standard and quality in accordance with legislative obligations. </w:t>
      </w:r>
    </w:p>
    <w:p w14:paraId="5A3D2CAE" w14:textId="77777777" w:rsidR="00C0355E" w:rsidRPr="009E1939" w:rsidRDefault="00C0355E" w:rsidP="00A04215">
      <w:pPr>
        <w:pStyle w:val="Heading2"/>
      </w:pPr>
      <w:r w:rsidRPr="009E1939">
        <w:t>Scope</w:t>
      </w:r>
    </w:p>
    <w:p w14:paraId="77E800CD" w14:textId="5E57DC3D" w:rsidR="00C0355E" w:rsidRPr="009E1939" w:rsidRDefault="00C0355E" w:rsidP="00A04215">
      <w:pPr>
        <w:suppressAutoHyphens/>
      </w:pPr>
      <w:r w:rsidRPr="009E1939">
        <w:t xml:space="preserve">This </w:t>
      </w:r>
      <w:r w:rsidR="00877818">
        <w:t>p</w:t>
      </w:r>
      <w:r w:rsidRPr="009E1939">
        <w:t xml:space="preserve">olicy applies to the FDS and all FDS staff.  The </w:t>
      </w:r>
      <w:r>
        <w:t>Administrator</w:t>
      </w:r>
      <w:r w:rsidRPr="009E1939">
        <w:t xml:space="preserve">, </w:t>
      </w:r>
      <w:r>
        <w:t>Senior Practitioner</w:t>
      </w:r>
      <w:r w:rsidR="00877818">
        <w:t>s</w:t>
      </w:r>
      <w:r w:rsidRPr="009E1939">
        <w:t xml:space="preserve">, </w:t>
      </w:r>
      <w:r>
        <w:t>Authorised Practitioner</w:t>
      </w:r>
      <w:r w:rsidR="00877818">
        <w:t>s</w:t>
      </w:r>
      <w:r w:rsidRPr="009E1939">
        <w:t xml:space="preserve"> and other persons performing a function or exercising a power under the Act must comply with this </w:t>
      </w:r>
      <w:r w:rsidR="00877818">
        <w:t>p</w:t>
      </w:r>
      <w:r w:rsidRPr="009E1939">
        <w:t>olicy.</w:t>
      </w:r>
    </w:p>
    <w:p w14:paraId="1A73A067" w14:textId="77777777" w:rsidR="00C0355E" w:rsidRPr="00A04215" w:rsidRDefault="00C0355E" w:rsidP="00A04215">
      <w:pPr>
        <w:pStyle w:val="Heading2"/>
        <w:rPr>
          <w:szCs w:val="24"/>
        </w:rPr>
      </w:pPr>
      <w:r w:rsidRPr="00A04215">
        <w:rPr>
          <w:szCs w:val="24"/>
        </w:rPr>
        <w:t>Authorising Legislation</w:t>
      </w:r>
    </w:p>
    <w:p w14:paraId="60DD407F" w14:textId="4EDBA9C3" w:rsidR="00C0355E" w:rsidRPr="003F542F" w:rsidRDefault="00C0355E" w:rsidP="00A04215">
      <w:pPr>
        <w:rPr>
          <w:position w:val="3"/>
          <w:lang w:eastAsia="x-none"/>
        </w:rPr>
      </w:pPr>
      <w:r w:rsidRPr="009E1939">
        <w:rPr>
          <w:position w:val="3"/>
          <w:lang w:eastAsia="x-none"/>
        </w:rPr>
        <w:t xml:space="preserve">Section 91 of the </w:t>
      </w:r>
      <w:r w:rsidR="003F542F" w:rsidRPr="008D52D7">
        <w:rPr>
          <w:iCs/>
          <w:position w:val="3"/>
          <w:lang w:eastAsia="x-none"/>
        </w:rPr>
        <w:t>Act.</w:t>
      </w:r>
    </w:p>
    <w:p w14:paraId="23002101" w14:textId="77777777" w:rsidR="00C0355E" w:rsidRPr="00A04215" w:rsidRDefault="00C0355E" w:rsidP="00A04215">
      <w:pPr>
        <w:pStyle w:val="Heading2"/>
        <w:rPr>
          <w:szCs w:val="24"/>
        </w:rPr>
      </w:pPr>
      <w:r w:rsidRPr="00A04215">
        <w:rPr>
          <w:szCs w:val="24"/>
        </w:rPr>
        <w:t>Policy</w:t>
      </w:r>
    </w:p>
    <w:p w14:paraId="56FEE72C" w14:textId="77777777" w:rsidR="00C0355E" w:rsidRDefault="00D77620" w:rsidP="00A04215">
      <w:r>
        <w:t>The Act imposes record</w:t>
      </w:r>
      <w:r w:rsidR="00C0355E" w:rsidRPr="00C047D7">
        <w:t xml:space="preserve">keeping obligations on specific officers. The following table sets out </w:t>
      </w:r>
      <w:r w:rsidR="00C0355E">
        <w:t>legislative obligation and the officer who must comply</w:t>
      </w:r>
      <w:r w:rsidR="00C0355E" w:rsidRPr="00C047D7">
        <w:t xml:space="preserve">: </w:t>
      </w:r>
    </w:p>
    <w:p w14:paraId="0BF76B96" w14:textId="77777777" w:rsidR="00C0355E" w:rsidRDefault="00C0355E" w:rsidP="00C0355E">
      <w:pPr>
        <w:spacing w:after="160" w:line="259" w:lineRule="auto"/>
      </w:pPr>
      <w:r>
        <w:br w:type="page"/>
      </w:r>
    </w:p>
    <w:tbl>
      <w:tblPr>
        <w:tblStyle w:val="TableGrid"/>
        <w:tblW w:w="10077" w:type="dxa"/>
        <w:jc w:val="center"/>
        <w:tblLayout w:type="fixed"/>
        <w:tblLook w:val="04A0" w:firstRow="1" w:lastRow="0" w:firstColumn="1" w:lastColumn="0" w:noHBand="0" w:noVBand="1"/>
        <w:tblCaption w:val="Recordkeeping Obligations under the Act"/>
      </w:tblPr>
      <w:tblGrid>
        <w:gridCol w:w="846"/>
        <w:gridCol w:w="1843"/>
        <w:gridCol w:w="7388"/>
      </w:tblGrid>
      <w:tr w:rsidR="002411CB" w14:paraId="5145B7A7" w14:textId="77777777" w:rsidTr="009E2B48">
        <w:trPr>
          <w:tblHeader/>
          <w:jc w:val="center"/>
        </w:trPr>
        <w:tc>
          <w:tcPr>
            <w:tcW w:w="10077" w:type="dxa"/>
            <w:gridSpan w:val="3"/>
            <w:vAlign w:val="center"/>
          </w:tcPr>
          <w:p w14:paraId="2DE722D9" w14:textId="77777777" w:rsidR="00CD70A4" w:rsidRPr="00CD70A4" w:rsidRDefault="00CD70A4" w:rsidP="00B019A9">
            <w:pPr>
              <w:jc w:val="center"/>
              <w:rPr>
                <w:b/>
                <w:sz w:val="12"/>
                <w:szCs w:val="12"/>
                <w:lang w:eastAsia="en-AU"/>
              </w:rPr>
            </w:pPr>
          </w:p>
          <w:p w14:paraId="1730B201" w14:textId="77777777" w:rsidR="009E2B48" w:rsidRDefault="002411CB" w:rsidP="00B019A9">
            <w:pPr>
              <w:jc w:val="center"/>
              <w:rPr>
                <w:b/>
                <w:sz w:val="28"/>
                <w:szCs w:val="28"/>
                <w:lang w:eastAsia="en-AU"/>
              </w:rPr>
            </w:pPr>
            <w:r w:rsidRPr="00AA3A72">
              <w:rPr>
                <w:b/>
                <w:sz w:val="28"/>
                <w:szCs w:val="28"/>
                <w:lang w:eastAsia="en-AU"/>
              </w:rPr>
              <w:t>Recordkeeping Obligations under the Act</w:t>
            </w:r>
          </w:p>
          <w:p w14:paraId="42299BAB" w14:textId="77777777" w:rsidR="009E2B48" w:rsidRPr="00B019A9" w:rsidRDefault="009E2B48" w:rsidP="009E2B48">
            <w:pPr>
              <w:jc w:val="center"/>
              <w:rPr>
                <w:b/>
                <w:sz w:val="2"/>
                <w:szCs w:val="2"/>
                <w:lang w:eastAsia="en-AU"/>
              </w:rPr>
            </w:pPr>
          </w:p>
        </w:tc>
      </w:tr>
      <w:tr w:rsidR="007C6B19" w14:paraId="3CCBC30A" w14:textId="77777777" w:rsidTr="00B019A9">
        <w:trPr>
          <w:trHeight w:val="1873"/>
          <w:tblHeader/>
          <w:jc w:val="center"/>
        </w:trPr>
        <w:tc>
          <w:tcPr>
            <w:tcW w:w="846" w:type="dxa"/>
            <w:shd w:val="clear" w:color="auto" w:fill="BFBFBF" w:themeFill="background1" w:themeFillShade="BF"/>
            <w:vAlign w:val="center"/>
          </w:tcPr>
          <w:p w14:paraId="7AA354E9" w14:textId="77777777" w:rsidR="00E3550B" w:rsidRPr="00AA3A72" w:rsidRDefault="00E3550B" w:rsidP="00E3550B">
            <w:pPr>
              <w:suppressAutoHyphens/>
              <w:spacing w:after="240"/>
              <w:rPr>
                <w:b/>
              </w:rPr>
            </w:pPr>
            <w:r w:rsidRPr="00AA3A72">
              <w:rPr>
                <w:b/>
              </w:rPr>
              <w:t>No.</w:t>
            </w:r>
          </w:p>
        </w:tc>
        <w:tc>
          <w:tcPr>
            <w:tcW w:w="1843" w:type="dxa"/>
            <w:shd w:val="clear" w:color="auto" w:fill="BFBFBF" w:themeFill="background1" w:themeFillShade="BF"/>
            <w:vAlign w:val="center"/>
          </w:tcPr>
          <w:p w14:paraId="66FD6747" w14:textId="5C0C6D90" w:rsidR="00E3550B" w:rsidRPr="00AA3A72" w:rsidRDefault="00E3550B" w:rsidP="005125B5">
            <w:pPr>
              <w:pStyle w:val="ListParagraph"/>
              <w:suppressAutoHyphens/>
              <w:spacing w:after="240"/>
              <w:ind w:left="0"/>
              <w:contextualSpacing w:val="0"/>
              <w:jc w:val="center"/>
              <w:rPr>
                <w:rFonts w:eastAsia="Times New Roman"/>
                <w:b/>
                <w:lang w:val="en-AU" w:eastAsia="en-AU"/>
              </w:rPr>
            </w:pPr>
            <w:r w:rsidRPr="00AA3A72">
              <w:rPr>
                <w:rFonts w:eastAsia="Times New Roman"/>
                <w:b/>
                <w:lang w:val="en-AU" w:eastAsia="en-AU"/>
              </w:rPr>
              <w:t>Section of the Act (or Forensic Disability Regulation 20</w:t>
            </w:r>
            <w:r w:rsidR="002E176F">
              <w:rPr>
                <w:rFonts w:eastAsia="Times New Roman"/>
                <w:b/>
                <w:lang w:val="en-AU" w:eastAsia="en-AU"/>
              </w:rPr>
              <w:t>22</w:t>
            </w:r>
            <w:r w:rsidRPr="00AA3A72">
              <w:rPr>
                <w:rFonts w:eastAsia="Times New Roman"/>
                <w:b/>
                <w:lang w:val="en-AU" w:eastAsia="en-AU"/>
              </w:rPr>
              <w:t xml:space="preserve"> (FDR))</w:t>
            </w:r>
          </w:p>
        </w:tc>
        <w:tc>
          <w:tcPr>
            <w:tcW w:w="7388" w:type="dxa"/>
            <w:shd w:val="clear" w:color="auto" w:fill="BFBFBF" w:themeFill="background1" w:themeFillShade="BF"/>
            <w:vAlign w:val="center"/>
          </w:tcPr>
          <w:p w14:paraId="226FF9B8" w14:textId="77777777" w:rsidR="00E3550B" w:rsidRPr="00AA3A72" w:rsidRDefault="00E3550B" w:rsidP="00E3550B">
            <w:pPr>
              <w:pStyle w:val="ListParagraph"/>
              <w:numPr>
                <w:ilvl w:val="0"/>
                <w:numId w:val="0"/>
              </w:numPr>
              <w:suppressAutoHyphens/>
              <w:spacing w:after="240"/>
              <w:contextualSpacing w:val="0"/>
              <w:jc w:val="center"/>
              <w:rPr>
                <w:rFonts w:eastAsia="Times New Roman"/>
                <w:b/>
                <w:lang w:val="en-AU" w:eastAsia="en-AU"/>
              </w:rPr>
            </w:pPr>
            <w:r w:rsidRPr="00AA3A72">
              <w:rPr>
                <w:rFonts w:eastAsia="Times New Roman"/>
                <w:b/>
                <w:lang w:val="en-AU" w:eastAsia="en-AU"/>
              </w:rPr>
              <w:t>Topic and title of legislative provision</w:t>
            </w:r>
          </w:p>
        </w:tc>
      </w:tr>
      <w:tr w:rsidR="00DB1983" w14:paraId="3598C4FF" w14:textId="77777777" w:rsidTr="009E2B48">
        <w:trPr>
          <w:trHeight w:val="20"/>
          <w:tblHeader/>
          <w:jc w:val="center"/>
        </w:trPr>
        <w:tc>
          <w:tcPr>
            <w:tcW w:w="10077" w:type="dxa"/>
            <w:gridSpan w:val="3"/>
            <w:shd w:val="clear" w:color="auto" w:fill="BFBFBF" w:themeFill="background1" w:themeFillShade="BF"/>
          </w:tcPr>
          <w:p w14:paraId="70061D23" w14:textId="77777777" w:rsidR="00DB1983" w:rsidRPr="00AA3A72" w:rsidRDefault="00DB1983" w:rsidP="00DB1983">
            <w:pPr>
              <w:pStyle w:val="ListParagraph"/>
              <w:numPr>
                <w:ilvl w:val="0"/>
                <w:numId w:val="0"/>
              </w:numPr>
              <w:suppressAutoHyphens/>
              <w:spacing w:after="240"/>
              <w:contextualSpacing w:val="0"/>
              <w:jc w:val="left"/>
              <w:rPr>
                <w:rFonts w:eastAsia="Times New Roman"/>
                <w:b/>
                <w:lang w:val="en-AU" w:eastAsia="en-AU"/>
              </w:rPr>
            </w:pPr>
            <w:r w:rsidRPr="00AA3A72">
              <w:rPr>
                <w:rFonts w:eastAsia="Times New Roman"/>
                <w:b/>
                <w:lang w:val="en-AU" w:eastAsia="en-AU"/>
              </w:rPr>
              <w:t>Senior Practitioner</w:t>
            </w:r>
          </w:p>
        </w:tc>
      </w:tr>
      <w:tr w:rsidR="007C6B19" w14:paraId="52DE4329" w14:textId="77777777" w:rsidTr="00B019A9">
        <w:trPr>
          <w:trHeight w:val="20"/>
          <w:tblHeader/>
          <w:jc w:val="center"/>
        </w:trPr>
        <w:tc>
          <w:tcPr>
            <w:tcW w:w="846" w:type="dxa"/>
            <w:vAlign w:val="center"/>
          </w:tcPr>
          <w:p w14:paraId="40CA3916" w14:textId="77777777" w:rsidR="00E3550B" w:rsidRPr="00AA3A72" w:rsidRDefault="00E3550B" w:rsidP="00AA3A72">
            <w:pPr>
              <w:pStyle w:val="ListParagraph"/>
              <w:numPr>
                <w:ilvl w:val="0"/>
                <w:numId w:val="35"/>
              </w:numPr>
              <w:suppressAutoHyphens/>
              <w:spacing w:before="0" w:after="240"/>
              <w:jc w:val="center"/>
            </w:pPr>
          </w:p>
        </w:tc>
        <w:tc>
          <w:tcPr>
            <w:tcW w:w="1843" w:type="dxa"/>
          </w:tcPr>
          <w:p w14:paraId="28FCE1A7"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s17(4)</w:t>
            </w:r>
          </w:p>
        </w:tc>
        <w:tc>
          <w:tcPr>
            <w:tcW w:w="7388" w:type="dxa"/>
          </w:tcPr>
          <w:p w14:paraId="08698349"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Individual Development Plan – Changing Plan</w:t>
            </w:r>
          </w:p>
        </w:tc>
      </w:tr>
      <w:tr w:rsidR="007C6B19" w14:paraId="4B5AC52D" w14:textId="77777777" w:rsidTr="00B019A9">
        <w:trPr>
          <w:trHeight w:val="20"/>
          <w:tblHeader/>
          <w:jc w:val="center"/>
        </w:trPr>
        <w:tc>
          <w:tcPr>
            <w:tcW w:w="846" w:type="dxa"/>
            <w:vAlign w:val="center"/>
          </w:tcPr>
          <w:p w14:paraId="33C36C37" w14:textId="77777777" w:rsidR="00E3550B" w:rsidRPr="00AA3A72" w:rsidRDefault="00E3550B" w:rsidP="00AA3A72">
            <w:pPr>
              <w:pStyle w:val="ListParagraph"/>
              <w:numPr>
                <w:ilvl w:val="0"/>
                <w:numId w:val="35"/>
              </w:numPr>
              <w:suppressAutoHyphens/>
              <w:spacing w:before="0" w:after="240"/>
              <w:jc w:val="center"/>
            </w:pPr>
          </w:p>
        </w:tc>
        <w:tc>
          <w:tcPr>
            <w:tcW w:w="1843" w:type="dxa"/>
          </w:tcPr>
          <w:p w14:paraId="6B1B382B"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s19(2)</w:t>
            </w:r>
          </w:p>
        </w:tc>
        <w:tc>
          <w:tcPr>
            <w:tcW w:w="7388" w:type="dxa"/>
          </w:tcPr>
          <w:p w14:paraId="0E46C0AF"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Assessment of client – Regular assessment of client</w:t>
            </w:r>
          </w:p>
        </w:tc>
      </w:tr>
      <w:tr w:rsidR="007C6B19" w14:paraId="576D95FF" w14:textId="77777777" w:rsidTr="00B019A9">
        <w:trPr>
          <w:trHeight w:val="20"/>
          <w:tblHeader/>
          <w:jc w:val="center"/>
        </w:trPr>
        <w:tc>
          <w:tcPr>
            <w:tcW w:w="846" w:type="dxa"/>
            <w:vAlign w:val="center"/>
          </w:tcPr>
          <w:p w14:paraId="744B33C0" w14:textId="77777777" w:rsidR="00E3550B" w:rsidRPr="00AA3A72" w:rsidRDefault="00E3550B" w:rsidP="00AA3A72">
            <w:pPr>
              <w:pStyle w:val="ListParagraph"/>
              <w:numPr>
                <w:ilvl w:val="0"/>
                <w:numId w:val="35"/>
              </w:numPr>
              <w:suppressAutoHyphens/>
              <w:spacing w:before="0" w:after="240"/>
              <w:jc w:val="center"/>
            </w:pPr>
          </w:p>
        </w:tc>
        <w:tc>
          <w:tcPr>
            <w:tcW w:w="1843" w:type="dxa"/>
          </w:tcPr>
          <w:p w14:paraId="040D35E1"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s51(1)</w:t>
            </w:r>
          </w:p>
        </w:tc>
        <w:tc>
          <w:tcPr>
            <w:tcW w:w="7388" w:type="dxa"/>
          </w:tcPr>
          <w:p w14:paraId="09D8A639"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Prescribed behaviour control medication – Obligations of Senior Practitioner</w:t>
            </w:r>
          </w:p>
        </w:tc>
      </w:tr>
      <w:tr w:rsidR="007C6B19" w14:paraId="7DD8DF67" w14:textId="77777777" w:rsidTr="00B019A9">
        <w:trPr>
          <w:trHeight w:val="20"/>
          <w:tblHeader/>
          <w:jc w:val="center"/>
        </w:trPr>
        <w:tc>
          <w:tcPr>
            <w:tcW w:w="846" w:type="dxa"/>
            <w:vAlign w:val="center"/>
          </w:tcPr>
          <w:p w14:paraId="222047CE" w14:textId="77777777" w:rsidR="00E3550B" w:rsidRPr="00AA3A72" w:rsidRDefault="00E3550B" w:rsidP="00AA3A72">
            <w:pPr>
              <w:pStyle w:val="ListParagraph"/>
              <w:numPr>
                <w:ilvl w:val="0"/>
                <w:numId w:val="35"/>
              </w:numPr>
              <w:suppressAutoHyphens/>
              <w:spacing w:before="0" w:after="240"/>
              <w:jc w:val="center"/>
            </w:pPr>
          </w:p>
        </w:tc>
        <w:tc>
          <w:tcPr>
            <w:tcW w:w="1843" w:type="dxa"/>
          </w:tcPr>
          <w:p w14:paraId="4B6F8074"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s51(2)</w:t>
            </w:r>
          </w:p>
        </w:tc>
        <w:tc>
          <w:tcPr>
            <w:tcW w:w="7388" w:type="dxa"/>
          </w:tcPr>
          <w:p w14:paraId="0F9FBB15"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Administering behaviour control medication – Obligations of Senior Practitioner</w:t>
            </w:r>
          </w:p>
        </w:tc>
      </w:tr>
      <w:tr w:rsidR="007C6B19" w14:paraId="2B5E9764" w14:textId="77777777" w:rsidTr="00B019A9">
        <w:trPr>
          <w:trHeight w:val="20"/>
          <w:tblHeader/>
          <w:jc w:val="center"/>
        </w:trPr>
        <w:tc>
          <w:tcPr>
            <w:tcW w:w="846" w:type="dxa"/>
            <w:vAlign w:val="center"/>
          </w:tcPr>
          <w:p w14:paraId="03FF7D44" w14:textId="77777777" w:rsidR="00E3550B" w:rsidRPr="00AA3A72" w:rsidRDefault="00E3550B" w:rsidP="00AA3A72">
            <w:pPr>
              <w:pStyle w:val="ListParagraph"/>
              <w:numPr>
                <w:ilvl w:val="0"/>
                <w:numId w:val="35"/>
              </w:numPr>
              <w:suppressAutoHyphens/>
              <w:spacing w:before="0" w:after="240"/>
              <w:jc w:val="center"/>
            </w:pPr>
          </w:p>
        </w:tc>
        <w:tc>
          <w:tcPr>
            <w:tcW w:w="1843" w:type="dxa"/>
          </w:tcPr>
          <w:p w14:paraId="7B753D24"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s57(c)</w:t>
            </w:r>
          </w:p>
        </w:tc>
        <w:tc>
          <w:tcPr>
            <w:tcW w:w="7388" w:type="dxa"/>
          </w:tcPr>
          <w:p w14:paraId="5BB78B0F"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Restraint – Obligations of Senior Practitioner and Authorised Practitioner</w:t>
            </w:r>
          </w:p>
        </w:tc>
      </w:tr>
      <w:tr w:rsidR="007C6B19" w14:paraId="668A50AF" w14:textId="77777777" w:rsidTr="00B019A9">
        <w:trPr>
          <w:trHeight w:val="20"/>
          <w:tblHeader/>
          <w:jc w:val="center"/>
        </w:trPr>
        <w:tc>
          <w:tcPr>
            <w:tcW w:w="846" w:type="dxa"/>
            <w:vAlign w:val="center"/>
          </w:tcPr>
          <w:p w14:paraId="66E2A21B" w14:textId="77777777" w:rsidR="00E3550B" w:rsidRPr="00AA3A72" w:rsidRDefault="00E3550B" w:rsidP="00AA3A72">
            <w:pPr>
              <w:pStyle w:val="ListParagraph"/>
              <w:numPr>
                <w:ilvl w:val="0"/>
                <w:numId w:val="35"/>
              </w:numPr>
              <w:suppressAutoHyphens/>
              <w:spacing w:before="0" w:after="240"/>
              <w:jc w:val="center"/>
            </w:pPr>
          </w:p>
        </w:tc>
        <w:tc>
          <w:tcPr>
            <w:tcW w:w="1843" w:type="dxa"/>
          </w:tcPr>
          <w:p w14:paraId="1F71CA4A"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s62(3)</w:t>
            </w:r>
          </w:p>
        </w:tc>
        <w:tc>
          <w:tcPr>
            <w:tcW w:w="7388" w:type="dxa"/>
          </w:tcPr>
          <w:p w14:paraId="6B6A429C"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Seclusion – How authorisation of seclusion is given</w:t>
            </w:r>
          </w:p>
        </w:tc>
      </w:tr>
      <w:tr w:rsidR="007C6B19" w14:paraId="4BB28597" w14:textId="77777777" w:rsidTr="00B019A9">
        <w:trPr>
          <w:trHeight w:val="20"/>
          <w:tblHeader/>
          <w:jc w:val="center"/>
        </w:trPr>
        <w:tc>
          <w:tcPr>
            <w:tcW w:w="846" w:type="dxa"/>
            <w:vAlign w:val="center"/>
          </w:tcPr>
          <w:p w14:paraId="634626B5" w14:textId="77777777" w:rsidR="00E3550B" w:rsidRPr="00AA3A72" w:rsidRDefault="00E3550B" w:rsidP="00AA3A72">
            <w:pPr>
              <w:pStyle w:val="ListParagraph"/>
              <w:numPr>
                <w:ilvl w:val="0"/>
                <w:numId w:val="35"/>
              </w:numPr>
              <w:suppressAutoHyphens/>
              <w:spacing w:before="0" w:after="240"/>
              <w:jc w:val="center"/>
            </w:pPr>
          </w:p>
        </w:tc>
        <w:tc>
          <w:tcPr>
            <w:tcW w:w="1843" w:type="dxa"/>
          </w:tcPr>
          <w:p w14:paraId="1547E57E"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s63(4)</w:t>
            </w:r>
          </w:p>
        </w:tc>
        <w:tc>
          <w:tcPr>
            <w:tcW w:w="7388" w:type="dxa"/>
          </w:tcPr>
          <w:p w14:paraId="023BD04B"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 xml:space="preserve">Seclusion - Obligations of Senior Practitioner and Authorised Practitioner </w:t>
            </w:r>
          </w:p>
        </w:tc>
      </w:tr>
      <w:tr w:rsidR="007C6B19" w14:paraId="77C18026" w14:textId="77777777" w:rsidTr="00B019A9">
        <w:trPr>
          <w:trHeight w:val="20"/>
          <w:tblHeader/>
          <w:jc w:val="center"/>
        </w:trPr>
        <w:tc>
          <w:tcPr>
            <w:tcW w:w="846" w:type="dxa"/>
            <w:vAlign w:val="center"/>
          </w:tcPr>
          <w:p w14:paraId="1ABBE27A" w14:textId="77777777" w:rsidR="00E3550B" w:rsidRPr="00AA3A72" w:rsidRDefault="00E3550B" w:rsidP="00AA3A72">
            <w:pPr>
              <w:pStyle w:val="ListParagraph"/>
              <w:numPr>
                <w:ilvl w:val="0"/>
                <w:numId w:val="35"/>
              </w:numPr>
              <w:suppressAutoHyphens/>
              <w:spacing w:before="0" w:after="240"/>
              <w:jc w:val="center"/>
            </w:pPr>
          </w:p>
        </w:tc>
        <w:tc>
          <w:tcPr>
            <w:tcW w:w="1843" w:type="dxa"/>
          </w:tcPr>
          <w:p w14:paraId="34EC2D06"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s64(3)</w:t>
            </w:r>
          </w:p>
        </w:tc>
        <w:tc>
          <w:tcPr>
            <w:tcW w:w="7388" w:type="dxa"/>
          </w:tcPr>
          <w:p w14:paraId="63881CB0"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Seclusion – Other obligations if Authorised Practitioner places client in seclusion in urgent circumstances</w:t>
            </w:r>
          </w:p>
        </w:tc>
      </w:tr>
      <w:tr w:rsidR="007C6B19" w14:paraId="73406CD4" w14:textId="77777777" w:rsidTr="00B019A9">
        <w:trPr>
          <w:trHeight w:val="20"/>
          <w:tblHeader/>
          <w:jc w:val="center"/>
        </w:trPr>
        <w:tc>
          <w:tcPr>
            <w:tcW w:w="846" w:type="dxa"/>
            <w:vAlign w:val="center"/>
          </w:tcPr>
          <w:p w14:paraId="555E2771" w14:textId="77777777" w:rsidR="00E3550B" w:rsidRPr="00AA3A72" w:rsidRDefault="009E2B48" w:rsidP="00AA3A72">
            <w:pPr>
              <w:pStyle w:val="ListParagraph"/>
              <w:numPr>
                <w:ilvl w:val="0"/>
                <w:numId w:val="35"/>
              </w:numPr>
              <w:suppressAutoHyphens/>
              <w:spacing w:before="0" w:after="240"/>
              <w:jc w:val="center"/>
            </w:pPr>
            <w:r>
              <w:br w:type="page"/>
            </w:r>
          </w:p>
        </w:tc>
        <w:tc>
          <w:tcPr>
            <w:tcW w:w="1843" w:type="dxa"/>
          </w:tcPr>
          <w:p w14:paraId="181BFAC9"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s80(2)</w:t>
            </w:r>
          </w:p>
        </w:tc>
        <w:tc>
          <w:tcPr>
            <w:tcW w:w="7388" w:type="dxa"/>
          </w:tcPr>
          <w:p w14:paraId="0470B79B" w14:textId="711E19E5" w:rsidR="009E2B48" w:rsidRPr="00B019A9" w:rsidRDefault="00E3550B" w:rsidP="009E2B48">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Search - Record of search</w:t>
            </w:r>
          </w:p>
        </w:tc>
      </w:tr>
      <w:tr w:rsidR="00DB1983" w14:paraId="3E948DC9" w14:textId="77777777" w:rsidTr="009E2B48">
        <w:trPr>
          <w:trHeight w:val="20"/>
          <w:tblHeader/>
          <w:jc w:val="center"/>
        </w:trPr>
        <w:tc>
          <w:tcPr>
            <w:tcW w:w="10077" w:type="dxa"/>
            <w:gridSpan w:val="3"/>
            <w:shd w:val="clear" w:color="auto" w:fill="BFBFBF" w:themeFill="background1" w:themeFillShade="BF"/>
            <w:vAlign w:val="center"/>
          </w:tcPr>
          <w:p w14:paraId="099BF1B6" w14:textId="77777777" w:rsidR="00DB1983" w:rsidRPr="00AA3A72" w:rsidRDefault="00DB1983" w:rsidP="007C6B19">
            <w:pPr>
              <w:pStyle w:val="ListParagraph"/>
              <w:suppressAutoHyphens/>
              <w:spacing w:after="240"/>
              <w:ind w:left="0"/>
              <w:contextualSpacing w:val="0"/>
              <w:jc w:val="left"/>
              <w:rPr>
                <w:rFonts w:eastAsia="Times New Roman"/>
                <w:b/>
                <w:lang w:val="en-AU" w:eastAsia="en-AU"/>
              </w:rPr>
            </w:pPr>
            <w:r w:rsidRPr="00AA3A72">
              <w:rPr>
                <w:rFonts w:eastAsia="Times New Roman"/>
                <w:b/>
                <w:lang w:val="en-AU" w:eastAsia="en-AU"/>
              </w:rPr>
              <w:lastRenderedPageBreak/>
              <w:t>Authorised Practitioner</w:t>
            </w:r>
          </w:p>
        </w:tc>
      </w:tr>
      <w:tr w:rsidR="007C6B19" w14:paraId="550E1C37" w14:textId="77777777" w:rsidTr="00B019A9">
        <w:trPr>
          <w:trHeight w:val="20"/>
          <w:tblHeader/>
          <w:jc w:val="center"/>
        </w:trPr>
        <w:tc>
          <w:tcPr>
            <w:tcW w:w="846" w:type="dxa"/>
            <w:vAlign w:val="center"/>
          </w:tcPr>
          <w:p w14:paraId="64103A79" w14:textId="77777777" w:rsidR="00E3550B" w:rsidRPr="00AA3A72" w:rsidRDefault="00E3550B" w:rsidP="00E3550B">
            <w:pPr>
              <w:pStyle w:val="ListParagraph"/>
              <w:numPr>
                <w:ilvl w:val="0"/>
                <w:numId w:val="35"/>
              </w:numPr>
              <w:suppressAutoHyphens/>
              <w:spacing w:before="0" w:after="240"/>
              <w:rPr>
                <w:color w:val="FF0000"/>
              </w:rPr>
            </w:pPr>
          </w:p>
        </w:tc>
        <w:tc>
          <w:tcPr>
            <w:tcW w:w="1843" w:type="dxa"/>
          </w:tcPr>
          <w:p w14:paraId="5DA027B8"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s63(4)</w:t>
            </w:r>
          </w:p>
        </w:tc>
        <w:tc>
          <w:tcPr>
            <w:tcW w:w="7388" w:type="dxa"/>
          </w:tcPr>
          <w:p w14:paraId="6420B008"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Seclusion - Obligations of Senior Practitioner and Authorised Practitioner</w:t>
            </w:r>
          </w:p>
        </w:tc>
      </w:tr>
      <w:tr w:rsidR="007C6B19" w14:paraId="70B1D69B" w14:textId="77777777" w:rsidTr="00B019A9">
        <w:trPr>
          <w:trHeight w:val="20"/>
          <w:tblHeader/>
          <w:jc w:val="center"/>
        </w:trPr>
        <w:tc>
          <w:tcPr>
            <w:tcW w:w="846" w:type="dxa"/>
            <w:vAlign w:val="center"/>
          </w:tcPr>
          <w:p w14:paraId="195D46BF" w14:textId="77777777" w:rsidR="00E3550B" w:rsidRPr="00AA3A72" w:rsidRDefault="00E3550B" w:rsidP="00E3550B">
            <w:pPr>
              <w:pStyle w:val="ListParagraph"/>
              <w:numPr>
                <w:ilvl w:val="0"/>
                <w:numId w:val="35"/>
              </w:numPr>
              <w:suppressAutoHyphens/>
              <w:spacing w:before="0" w:after="240"/>
              <w:rPr>
                <w:color w:val="FF0000"/>
              </w:rPr>
            </w:pPr>
          </w:p>
        </w:tc>
        <w:tc>
          <w:tcPr>
            <w:tcW w:w="1843" w:type="dxa"/>
          </w:tcPr>
          <w:p w14:paraId="2A6FBBEB"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s64(1)(b)</w:t>
            </w:r>
          </w:p>
        </w:tc>
        <w:tc>
          <w:tcPr>
            <w:tcW w:w="7388" w:type="dxa"/>
          </w:tcPr>
          <w:p w14:paraId="1B88F87F"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S</w:t>
            </w:r>
            <w:r w:rsidR="007C6B19" w:rsidRPr="00AA3A72">
              <w:rPr>
                <w:rFonts w:eastAsia="Times New Roman"/>
                <w:lang w:val="en-AU" w:eastAsia="en-AU"/>
              </w:rPr>
              <w:t xml:space="preserve">eclusion - </w:t>
            </w:r>
            <w:r w:rsidRPr="00AA3A72">
              <w:rPr>
                <w:rFonts w:eastAsia="Times New Roman"/>
                <w:lang w:val="en-AU" w:eastAsia="en-AU"/>
              </w:rPr>
              <w:t>Other obligations if Authorised Practitioner places client in seclusion in urgent circumstances</w:t>
            </w:r>
          </w:p>
        </w:tc>
      </w:tr>
      <w:tr w:rsidR="007C6B19" w14:paraId="0D77974A" w14:textId="77777777" w:rsidTr="00B019A9">
        <w:trPr>
          <w:trHeight w:val="20"/>
          <w:tblHeader/>
          <w:jc w:val="center"/>
        </w:trPr>
        <w:tc>
          <w:tcPr>
            <w:tcW w:w="846" w:type="dxa"/>
            <w:vAlign w:val="center"/>
          </w:tcPr>
          <w:p w14:paraId="7182FA88" w14:textId="77777777" w:rsidR="00E3550B" w:rsidRPr="00AA3A72" w:rsidRDefault="00E3550B" w:rsidP="00E3550B">
            <w:pPr>
              <w:pStyle w:val="ListParagraph"/>
              <w:numPr>
                <w:ilvl w:val="0"/>
                <w:numId w:val="35"/>
              </w:numPr>
              <w:suppressAutoHyphens/>
              <w:spacing w:before="0" w:after="240"/>
              <w:rPr>
                <w:color w:val="FF0000"/>
              </w:rPr>
            </w:pPr>
          </w:p>
        </w:tc>
        <w:tc>
          <w:tcPr>
            <w:tcW w:w="1843" w:type="dxa"/>
          </w:tcPr>
          <w:p w14:paraId="48D227EB"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s65(3)</w:t>
            </w:r>
          </w:p>
        </w:tc>
        <w:tc>
          <w:tcPr>
            <w:tcW w:w="7388" w:type="dxa"/>
          </w:tcPr>
          <w:p w14:paraId="41524D98" w14:textId="77777777" w:rsidR="00E3550B" w:rsidRPr="00AA3A72" w:rsidRDefault="009E2B48" w:rsidP="007C6B19">
            <w:pPr>
              <w:pStyle w:val="ListParagraph"/>
              <w:suppressAutoHyphens/>
              <w:spacing w:after="240"/>
              <w:ind w:left="0"/>
              <w:contextualSpacing w:val="0"/>
              <w:jc w:val="left"/>
              <w:rPr>
                <w:rFonts w:eastAsia="Times New Roman"/>
                <w:lang w:val="en-AU" w:eastAsia="en-AU"/>
              </w:rPr>
            </w:pPr>
            <w:r>
              <w:rPr>
                <w:rFonts w:eastAsia="Times New Roman"/>
                <w:lang w:val="en-AU" w:eastAsia="en-AU"/>
              </w:rPr>
              <w:t xml:space="preserve">Seclusion - </w:t>
            </w:r>
            <w:r w:rsidR="00E3550B" w:rsidRPr="00AA3A72">
              <w:rPr>
                <w:rFonts w:eastAsia="Times New Roman"/>
                <w:lang w:val="en-AU" w:eastAsia="en-AU"/>
              </w:rPr>
              <w:t>When Authorised Practitioner may end seclusion or return client to seclusion.</w:t>
            </w:r>
          </w:p>
        </w:tc>
      </w:tr>
      <w:tr w:rsidR="00DB1983" w14:paraId="017D47B3" w14:textId="77777777" w:rsidTr="009E2B48">
        <w:trPr>
          <w:trHeight w:val="20"/>
          <w:tblHeader/>
          <w:jc w:val="center"/>
        </w:trPr>
        <w:tc>
          <w:tcPr>
            <w:tcW w:w="10077" w:type="dxa"/>
            <w:gridSpan w:val="3"/>
            <w:shd w:val="clear" w:color="auto" w:fill="BFBFBF" w:themeFill="background1" w:themeFillShade="BF"/>
            <w:vAlign w:val="center"/>
          </w:tcPr>
          <w:p w14:paraId="3FF3A7E8" w14:textId="77777777" w:rsidR="00DB1983" w:rsidRPr="00AA3A72" w:rsidRDefault="00DB1983" w:rsidP="007C6B19">
            <w:pPr>
              <w:pStyle w:val="ListParagraph"/>
              <w:suppressAutoHyphens/>
              <w:spacing w:after="240"/>
              <w:ind w:left="0"/>
              <w:contextualSpacing w:val="0"/>
              <w:jc w:val="left"/>
              <w:rPr>
                <w:rFonts w:eastAsia="Times New Roman"/>
                <w:b/>
                <w:lang w:val="en-AU" w:eastAsia="en-AU"/>
              </w:rPr>
            </w:pPr>
            <w:r w:rsidRPr="00AA3A72">
              <w:rPr>
                <w:rFonts w:eastAsia="Times New Roman"/>
                <w:b/>
                <w:lang w:val="en-AU" w:eastAsia="en-AU"/>
              </w:rPr>
              <w:t>Administrator</w:t>
            </w:r>
          </w:p>
        </w:tc>
      </w:tr>
      <w:tr w:rsidR="007C6B19" w14:paraId="5F304A5B" w14:textId="77777777" w:rsidTr="00B019A9">
        <w:trPr>
          <w:trHeight w:val="20"/>
          <w:tblHeader/>
          <w:jc w:val="center"/>
        </w:trPr>
        <w:tc>
          <w:tcPr>
            <w:tcW w:w="846" w:type="dxa"/>
            <w:vAlign w:val="center"/>
          </w:tcPr>
          <w:p w14:paraId="3E345E64" w14:textId="77777777" w:rsidR="00E3550B" w:rsidRPr="00AA3A72" w:rsidRDefault="00E3550B" w:rsidP="00E3550B">
            <w:pPr>
              <w:pStyle w:val="ListParagraph"/>
              <w:numPr>
                <w:ilvl w:val="0"/>
                <w:numId w:val="35"/>
              </w:numPr>
              <w:suppressAutoHyphens/>
              <w:spacing w:before="0" w:after="240"/>
              <w:rPr>
                <w:color w:val="FF0000"/>
              </w:rPr>
            </w:pPr>
          </w:p>
        </w:tc>
        <w:tc>
          <w:tcPr>
            <w:tcW w:w="1843" w:type="dxa"/>
          </w:tcPr>
          <w:p w14:paraId="7A15FD4A"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s74</w:t>
            </w:r>
          </w:p>
        </w:tc>
        <w:tc>
          <w:tcPr>
            <w:tcW w:w="7388" w:type="dxa"/>
          </w:tcPr>
          <w:p w14:paraId="38A2F8D1"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R</w:t>
            </w:r>
            <w:r w:rsidR="007C6B19" w:rsidRPr="00AA3A72">
              <w:rPr>
                <w:rFonts w:eastAsia="Times New Roman"/>
                <w:lang w:val="en-AU" w:eastAsia="en-AU"/>
              </w:rPr>
              <w:t xml:space="preserve">egister - </w:t>
            </w:r>
            <w:r w:rsidRPr="00AA3A72">
              <w:rPr>
                <w:rFonts w:eastAsia="Times New Roman"/>
                <w:lang w:val="en-AU" w:eastAsia="en-AU"/>
              </w:rPr>
              <w:t>Register of use of regulated behaviour controls</w:t>
            </w:r>
          </w:p>
        </w:tc>
      </w:tr>
      <w:tr w:rsidR="007C6B19" w14:paraId="43C98630" w14:textId="77777777" w:rsidTr="00B019A9">
        <w:trPr>
          <w:trHeight w:val="20"/>
          <w:tblHeader/>
          <w:jc w:val="center"/>
        </w:trPr>
        <w:tc>
          <w:tcPr>
            <w:tcW w:w="846" w:type="dxa"/>
            <w:vAlign w:val="center"/>
          </w:tcPr>
          <w:p w14:paraId="5AA17C7E" w14:textId="77777777" w:rsidR="00E3550B" w:rsidRPr="00AA3A72" w:rsidRDefault="00E3550B" w:rsidP="00E3550B">
            <w:pPr>
              <w:pStyle w:val="ListParagraph"/>
              <w:numPr>
                <w:ilvl w:val="0"/>
                <w:numId w:val="35"/>
              </w:numPr>
              <w:suppressAutoHyphens/>
              <w:spacing w:before="0" w:after="240"/>
              <w:rPr>
                <w:color w:val="FF0000"/>
              </w:rPr>
            </w:pPr>
          </w:p>
        </w:tc>
        <w:tc>
          <w:tcPr>
            <w:tcW w:w="1843" w:type="dxa"/>
          </w:tcPr>
          <w:p w14:paraId="0031DC26"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s3 FDR</w:t>
            </w:r>
          </w:p>
        </w:tc>
        <w:tc>
          <w:tcPr>
            <w:tcW w:w="7388" w:type="dxa"/>
          </w:tcPr>
          <w:p w14:paraId="13D74046"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R</w:t>
            </w:r>
            <w:r w:rsidR="007C6B19" w:rsidRPr="00AA3A72">
              <w:rPr>
                <w:rFonts w:eastAsia="Times New Roman"/>
                <w:lang w:val="en-AU" w:eastAsia="en-AU"/>
              </w:rPr>
              <w:t xml:space="preserve">egister - </w:t>
            </w:r>
            <w:r w:rsidRPr="00AA3A72">
              <w:rPr>
                <w:rFonts w:eastAsia="Times New Roman"/>
                <w:lang w:val="en-AU" w:eastAsia="en-AU"/>
              </w:rPr>
              <w:t>Register of use of</w:t>
            </w:r>
            <w:r w:rsidR="007C6B19" w:rsidRPr="00AA3A72">
              <w:rPr>
                <w:rFonts w:eastAsia="Times New Roman"/>
                <w:lang w:val="en-AU" w:eastAsia="en-AU"/>
              </w:rPr>
              <w:t xml:space="preserve"> regulated behaviour controls - </w:t>
            </w:r>
            <w:r w:rsidRPr="00AA3A72">
              <w:rPr>
                <w:rFonts w:eastAsia="Times New Roman"/>
                <w:lang w:val="en-AU" w:eastAsia="en-AU"/>
              </w:rPr>
              <w:t>Act s74</w:t>
            </w:r>
          </w:p>
        </w:tc>
      </w:tr>
      <w:tr w:rsidR="007C6B19" w14:paraId="23A06E41" w14:textId="77777777" w:rsidTr="00B019A9">
        <w:trPr>
          <w:trHeight w:val="20"/>
          <w:tblHeader/>
          <w:jc w:val="center"/>
        </w:trPr>
        <w:tc>
          <w:tcPr>
            <w:tcW w:w="846" w:type="dxa"/>
            <w:vAlign w:val="center"/>
          </w:tcPr>
          <w:p w14:paraId="252DAF98" w14:textId="77777777" w:rsidR="00E3550B" w:rsidRPr="00AA3A72" w:rsidRDefault="00E3550B" w:rsidP="00E3550B">
            <w:pPr>
              <w:pStyle w:val="ListParagraph"/>
              <w:numPr>
                <w:ilvl w:val="0"/>
                <w:numId w:val="35"/>
              </w:numPr>
              <w:suppressAutoHyphens/>
              <w:spacing w:before="0" w:after="240"/>
              <w:rPr>
                <w:color w:val="FF0000"/>
              </w:rPr>
            </w:pPr>
          </w:p>
        </w:tc>
        <w:tc>
          <w:tcPr>
            <w:tcW w:w="1843" w:type="dxa"/>
          </w:tcPr>
          <w:p w14:paraId="64B62332"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79(5)</w:t>
            </w:r>
          </w:p>
        </w:tc>
        <w:tc>
          <w:tcPr>
            <w:tcW w:w="7388" w:type="dxa"/>
          </w:tcPr>
          <w:p w14:paraId="3A713238" w14:textId="77777777" w:rsidR="00E3550B" w:rsidRPr="00AA3A72" w:rsidRDefault="00E3550B" w:rsidP="007C6B19">
            <w:pPr>
              <w:suppressAutoHyphens/>
              <w:spacing w:after="240"/>
              <w:jc w:val="left"/>
            </w:pPr>
            <w:r w:rsidRPr="00AA3A72">
              <w:t>Written record - What happens to thing seized</w:t>
            </w:r>
          </w:p>
        </w:tc>
      </w:tr>
      <w:tr w:rsidR="00BA1C1D" w14:paraId="0626478C" w14:textId="77777777" w:rsidTr="00B019A9">
        <w:trPr>
          <w:trHeight w:val="20"/>
          <w:tblHeader/>
          <w:jc w:val="center"/>
        </w:trPr>
        <w:tc>
          <w:tcPr>
            <w:tcW w:w="846" w:type="dxa"/>
            <w:vAlign w:val="center"/>
          </w:tcPr>
          <w:p w14:paraId="48F1091F" w14:textId="77777777" w:rsidR="00BA1C1D" w:rsidRPr="00AA3A72" w:rsidRDefault="00BA1C1D" w:rsidP="00E3550B">
            <w:pPr>
              <w:pStyle w:val="ListParagraph"/>
              <w:numPr>
                <w:ilvl w:val="0"/>
                <w:numId w:val="35"/>
              </w:numPr>
              <w:suppressAutoHyphens/>
              <w:spacing w:before="0" w:after="240"/>
              <w:rPr>
                <w:color w:val="FF0000"/>
              </w:rPr>
            </w:pPr>
          </w:p>
        </w:tc>
        <w:tc>
          <w:tcPr>
            <w:tcW w:w="1843" w:type="dxa"/>
          </w:tcPr>
          <w:p w14:paraId="61F7CEE3" w14:textId="0E81B44B" w:rsidR="00BA1C1D" w:rsidRPr="00AA3A72" w:rsidRDefault="00BA1C1D" w:rsidP="002B3E71">
            <w:pPr>
              <w:suppressAutoHyphens/>
              <w:spacing w:after="240"/>
              <w:ind w:left="284"/>
              <w:jc w:val="center"/>
            </w:pPr>
            <w:r>
              <w:t>s5</w:t>
            </w:r>
            <w:r w:rsidR="002E176F">
              <w:t xml:space="preserve"> </w:t>
            </w:r>
            <w:r>
              <w:t>FDR</w:t>
            </w:r>
          </w:p>
        </w:tc>
        <w:tc>
          <w:tcPr>
            <w:tcW w:w="7388" w:type="dxa"/>
          </w:tcPr>
          <w:p w14:paraId="7AC8D87E" w14:textId="5040EEFA" w:rsidR="00BA1C1D" w:rsidRPr="00AA3A72" w:rsidRDefault="00BA1C1D" w:rsidP="007C6B19">
            <w:pPr>
              <w:suppressAutoHyphens/>
              <w:spacing w:after="240"/>
              <w:jc w:val="left"/>
            </w:pPr>
            <w:r>
              <w:t>Records about forensic disability clients</w:t>
            </w:r>
          </w:p>
        </w:tc>
      </w:tr>
      <w:tr w:rsidR="00CB7703" w14:paraId="717761A5" w14:textId="77777777" w:rsidTr="00B019A9">
        <w:trPr>
          <w:trHeight w:val="20"/>
          <w:tblHeader/>
          <w:jc w:val="center"/>
        </w:trPr>
        <w:tc>
          <w:tcPr>
            <w:tcW w:w="846" w:type="dxa"/>
            <w:tcBorders>
              <w:bottom w:val="single" w:sz="4" w:space="0" w:color="auto"/>
            </w:tcBorders>
            <w:vAlign w:val="center"/>
          </w:tcPr>
          <w:p w14:paraId="532A212F" w14:textId="77777777" w:rsidR="00CB7703" w:rsidRPr="00AA3A72" w:rsidRDefault="00CB7703" w:rsidP="00E3550B">
            <w:pPr>
              <w:pStyle w:val="ListParagraph"/>
              <w:numPr>
                <w:ilvl w:val="0"/>
                <w:numId w:val="35"/>
              </w:numPr>
              <w:suppressAutoHyphens/>
              <w:spacing w:before="0" w:after="240"/>
              <w:rPr>
                <w:color w:val="FF0000"/>
              </w:rPr>
            </w:pPr>
          </w:p>
        </w:tc>
        <w:tc>
          <w:tcPr>
            <w:tcW w:w="1843" w:type="dxa"/>
            <w:tcBorders>
              <w:bottom w:val="single" w:sz="4" w:space="0" w:color="auto"/>
            </w:tcBorders>
          </w:tcPr>
          <w:p w14:paraId="1247DF25" w14:textId="152140B9" w:rsidR="00CB7703" w:rsidRPr="00AA3A72" w:rsidRDefault="003F542F" w:rsidP="002B3E71">
            <w:pPr>
              <w:suppressAutoHyphens/>
              <w:spacing w:after="240"/>
              <w:ind w:left="284"/>
              <w:jc w:val="center"/>
            </w:pPr>
            <w:r>
              <w:t>s</w:t>
            </w:r>
            <w:r w:rsidR="00CB7703">
              <w:t>105</w:t>
            </w:r>
          </w:p>
        </w:tc>
        <w:tc>
          <w:tcPr>
            <w:tcW w:w="7388" w:type="dxa"/>
            <w:tcBorders>
              <w:bottom w:val="single" w:sz="4" w:space="0" w:color="auto"/>
            </w:tcBorders>
          </w:tcPr>
          <w:p w14:paraId="6A484476" w14:textId="7D6AD37E" w:rsidR="00CB7703" w:rsidRPr="00AA3A72" w:rsidRDefault="00CB7703" w:rsidP="007C6B19">
            <w:pPr>
              <w:pStyle w:val="ListParagraph"/>
              <w:suppressAutoHyphens/>
              <w:spacing w:after="240"/>
              <w:ind w:left="0"/>
              <w:contextualSpacing w:val="0"/>
              <w:jc w:val="left"/>
              <w:rPr>
                <w:rFonts w:eastAsia="Times New Roman"/>
                <w:lang w:val="en-AU" w:eastAsia="en-AU"/>
              </w:rPr>
            </w:pPr>
            <w:r>
              <w:rPr>
                <w:rFonts w:eastAsia="Times New Roman"/>
                <w:lang w:val="en-AU" w:eastAsia="en-AU"/>
              </w:rPr>
              <w:t>Register of practitioners and other persons</w:t>
            </w:r>
          </w:p>
        </w:tc>
      </w:tr>
      <w:tr w:rsidR="00DB1983" w14:paraId="011F315A" w14:textId="77777777" w:rsidTr="009E2B48">
        <w:trPr>
          <w:trHeight w:val="20"/>
          <w:tblHeader/>
          <w:jc w:val="center"/>
        </w:trPr>
        <w:tc>
          <w:tcPr>
            <w:tcW w:w="10077" w:type="dxa"/>
            <w:gridSpan w:val="3"/>
            <w:shd w:val="clear" w:color="auto" w:fill="BFBFBF" w:themeFill="background1" w:themeFillShade="BF"/>
            <w:vAlign w:val="center"/>
          </w:tcPr>
          <w:p w14:paraId="4CAC17F0" w14:textId="77777777" w:rsidR="00DB1983" w:rsidRPr="00AA3A72" w:rsidRDefault="00DB1983" w:rsidP="007C6B19">
            <w:pPr>
              <w:pStyle w:val="ListParagraph"/>
              <w:suppressAutoHyphens/>
              <w:spacing w:after="240"/>
              <w:ind w:left="0"/>
              <w:contextualSpacing w:val="0"/>
              <w:jc w:val="left"/>
              <w:rPr>
                <w:rFonts w:eastAsia="Times New Roman"/>
                <w:b/>
                <w:lang w:val="en-AU" w:eastAsia="en-AU"/>
              </w:rPr>
            </w:pPr>
            <w:r w:rsidRPr="00AA3A72">
              <w:rPr>
                <w:rFonts w:eastAsia="Times New Roman"/>
                <w:b/>
                <w:lang w:val="en-AU" w:eastAsia="en-AU"/>
              </w:rPr>
              <w:t>Doctor and/or nurse attending to FDS client</w:t>
            </w:r>
          </w:p>
        </w:tc>
      </w:tr>
      <w:tr w:rsidR="007C6B19" w14:paraId="1A3308CD" w14:textId="77777777" w:rsidTr="00B019A9">
        <w:trPr>
          <w:trHeight w:val="20"/>
          <w:tblHeader/>
          <w:jc w:val="center"/>
        </w:trPr>
        <w:tc>
          <w:tcPr>
            <w:tcW w:w="846" w:type="dxa"/>
            <w:vAlign w:val="center"/>
          </w:tcPr>
          <w:p w14:paraId="24B4F109" w14:textId="77777777" w:rsidR="00E3550B" w:rsidRPr="00AA3A72" w:rsidRDefault="00E3550B" w:rsidP="00E3550B">
            <w:pPr>
              <w:pStyle w:val="ListParagraph"/>
              <w:numPr>
                <w:ilvl w:val="0"/>
                <w:numId w:val="35"/>
              </w:numPr>
              <w:suppressAutoHyphens/>
              <w:spacing w:before="0" w:after="240"/>
              <w:rPr>
                <w:rFonts w:eastAsia="Times New Roman"/>
                <w:color w:val="4BACC6" w:themeColor="accent5"/>
                <w:u w:val="single"/>
                <w:lang w:val="en-AU" w:eastAsia="en-AU"/>
              </w:rPr>
            </w:pPr>
          </w:p>
        </w:tc>
        <w:tc>
          <w:tcPr>
            <w:tcW w:w="1843" w:type="dxa"/>
          </w:tcPr>
          <w:p w14:paraId="4C8FA79C"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s52(4)</w:t>
            </w:r>
          </w:p>
        </w:tc>
        <w:tc>
          <w:tcPr>
            <w:tcW w:w="7388" w:type="dxa"/>
          </w:tcPr>
          <w:p w14:paraId="3E1DD9A3"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P</w:t>
            </w:r>
            <w:r w:rsidR="007C6B19" w:rsidRPr="00AA3A72">
              <w:rPr>
                <w:rFonts w:eastAsia="Times New Roman"/>
                <w:lang w:val="en-AU" w:eastAsia="en-AU"/>
              </w:rPr>
              <w:t xml:space="preserve">sychiatrist review - </w:t>
            </w:r>
            <w:r w:rsidRPr="00AA3A72">
              <w:rPr>
                <w:rFonts w:eastAsia="Times New Roman"/>
                <w:lang w:val="en-AU" w:eastAsia="en-AU"/>
              </w:rPr>
              <w:t>Review of client’s behaviour control medication</w:t>
            </w:r>
          </w:p>
        </w:tc>
      </w:tr>
      <w:tr w:rsidR="007C6B19" w14:paraId="459FA24C" w14:textId="77777777" w:rsidTr="00B019A9">
        <w:trPr>
          <w:trHeight w:val="20"/>
          <w:tblHeader/>
          <w:jc w:val="center"/>
        </w:trPr>
        <w:tc>
          <w:tcPr>
            <w:tcW w:w="846" w:type="dxa"/>
            <w:vAlign w:val="center"/>
          </w:tcPr>
          <w:p w14:paraId="32E557FF" w14:textId="77777777" w:rsidR="00E3550B" w:rsidRPr="00AA3A72" w:rsidRDefault="00E3550B" w:rsidP="00E3550B">
            <w:pPr>
              <w:pStyle w:val="ListParagraph"/>
              <w:numPr>
                <w:ilvl w:val="0"/>
                <w:numId w:val="35"/>
              </w:numPr>
              <w:suppressAutoHyphens/>
              <w:spacing w:before="0" w:after="240"/>
              <w:rPr>
                <w:rFonts w:eastAsia="Times New Roman"/>
                <w:color w:val="4BACC6" w:themeColor="accent5"/>
                <w:u w:val="single"/>
                <w:lang w:val="en-AU" w:eastAsia="en-AU"/>
              </w:rPr>
            </w:pPr>
          </w:p>
        </w:tc>
        <w:tc>
          <w:tcPr>
            <w:tcW w:w="1843" w:type="dxa"/>
          </w:tcPr>
          <w:p w14:paraId="236D9BF8"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s144(7)</w:t>
            </w:r>
          </w:p>
        </w:tc>
        <w:tc>
          <w:tcPr>
            <w:tcW w:w="7388" w:type="dxa"/>
          </w:tcPr>
          <w:p w14:paraId="3F0533C3"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A</w:t>
            </w:r>
            <w:r w:rsidR="007C6B19" w:rsidRPr="00AA3A72">
              <w:rPr>
                <w:rFonts w:eastAsia="Times New Roman"/>
                <w:lang w:val="en-AU" w:eastAsia="en-AU"/>
              </w:rPr>
              <w:t xml:space="preserve">dministers medication - </w:t>
            </w:r>
            <w:r w:rsidRPr="00AA3A72">
              <w:rPr>
                <w:rFonts w:eastAsia="Times New Roman"/>
                <w:lang w:val="en-AU" w:eastAsia="en-AU"/>
              </w:rPr>
              <w:t>Administration of medication for particular purpose</w:t>
            </w:r>
          </w:p>
        </w:tc>
      </w:tr>
      <w:tr w:rsidR="007C6B19" w14:paraId="05768744" w14:textId="77777777" w:rsidTr="00B019A9">
        <w:trPr>
          <w:trHeight w:val="20"/>
          <w:tblHeader/>
          <w:jc w:val="center"/>
        </w:trPr>
        <w:tc>
          <w:tcPr>
            <w:tcW w:w="846" w:type="dxa"/>
            <w:vAlign w:val="center"/>
          </w:tcPr>
          <w:p w14:paraId="18220B03" w14:textId="77777777" w:rsidR="00E3550B" w:rsidRPr="00AA3A72" w:rsidRDefault="00E3550B" w:rsidP="00E3550B">
            <w:pPr>
              <w:pStyle w:val="ListParagraph"/>
              <w:numPr>
                <w:ilvl w:val="0"/>
                <w:numId w:val="35"/>
              </w:numPr>
              <w:suppressAutoHyphens/>
              <w:spacing w:before="0" w:after="240"/>
              <w:rPr>
                <w:rFonts w:eastAsia="Times New Roman"/>
                <w:color w:val="4BACC6" w:themeColor="accent5"/>
                <w:u w:val="single"/>
                <w:lang w:val="en-AU" w:eastAsia="en-AU"/>
              </w:rPr>
            </w:pPr>
          </w:p>
        </w:tc>
        <w:tc>
          <w:tcPr>
            <w:tcW w:w="1843" w:type="dxa"/>
          </w:tcPr>
          <w:p w14:paraId="6D0D3DEA"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s145(4)</w:t>
            </w:r>
          </w:p>
        </w:tc>
        <w:tc>
          <w:tcPr>
            <w:tcW w:w="7388" w:type="dxa"/>
          </w:tcPr>
          <w:p w14:paraId="300D3351"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3</w:t>
            </w:r>
            <w:r w:rsidR="007C6B19" w:rsidRPr="00AA3A72">
              <w:rPr>
                <w:rFonts w:eastAsia="Times New Roman"/>
                <w:lang w:val="en-AU" w:eastAsia="en-AU"/>
              </w:rPr>
              <w:t xml:space="preserve"> monthly medication review - </w:t>
            </w:r>
            <w:r w:rsidRPr="00AA3A72">
              <w:rPr>
                <w:rFonts w:eastAsia="Times New Roman"/>
                <w:lang w:val="en-AU" w:eastAsia="en-AU"/>
              </w:rPr>
              <w:t>Review of client’s medication</w:t>
            </w:r>
          </w:p>
        </w:tc>
      </w:tr>
    </w:tbl>
    <w:p w14:paraId="2F2FF134" w14:textId="77777777" w:rsidR="00CD70A4" w:rsidRDefault="00CD70A4">
      <w:r>
        <w:br w:type="page"/>
      </w:r>
    </w:p>
    <w:tbl>
      <w:tblPr>
        <w:tblStyle w:val="TableGrid"/>
        <w:tblW w:w="10077" w:type="dxa"/>
        <w:jc w:val="center"/>
        <w:tblLayout w:type="fixed"/>
        <w:tblLook w:val="04A0" w:firstRow="1" w:lastRow="0" w:firstColumn="1" w:lastColumn="0" w:noHBand="0" w:noVBand="1"/>
        <w:tblCaption w:val="Recordkeeping Obligations under the Act"/>
      </w:tblPr>
      <w:tblGrid>
        <w:gridCol w:w="846"/>
        <w:gridCol w:w="1559"/>
        <w:gridCol w:w="7672"/>
      </w:tblGrid>
      <w:tr w:rsidR="00DB1983" w14:paraId="40CB790A" w14:textId="77777777" w:rsidTr="009E2B48">
        <w:trPr>
          <w:trHeight w:val="20"/>
          <w:tblHeader/>
          <w:jc w:val="center"/>
        </w:trPr>
        <w:tc>
          <w:tcPr>
            <w:tcW w:w="10077" w:type="dxa"/>
            <w:gridSpan w:val="3"/>
            <w:shd w:val="clear" w:color="auto" w:fill="BFBFBF" w:themeFill="background1" w:themeFillShade="BF"/>
            <w:vAlign w:val="center"/>
          </w:tcPr>
          <w:p w14:paraId="5D4525E4" w14:textId="77777777" w:rsidR="00DB1983" w:rsidRPr="00AA3A72" w:rsidRDefault="00B019A9" w:rsidP="007C6B19">
            <w:pPr>
              <w:pStyle w:val="ListParagraph"/>
              <w:suppressAutoHyphens/>
              <w:spacing w:after="240"/>
              <w:ind w:left="0"/>
              <w:contextualSpacing w:val="0"/>
              <w:jc w:val="left"/>
              <w:rPr>
                <w:rFonts w:eastAsia="Times New Roman"/>
                <w:b/>
                <w:lang w:val="en-AU" w:eastAsia="en-AU"/>
              </w:rPr>
            </w:pPr>
            <w:r>
              <w:rPr>
                <w:rFonts w:eastAsia="Times New Roman"/>
                <w:lang w:val="en-AU" w:eastAsia="en-AU"/>
              </w:rPr>
              <w:lastRenderedPageBreak/>
              <w:br w:type="page"/>
            </w:r>
            <w:r w:rsidR="00DB1983" w:rsidRPr="00AA3A72">
              <w:rPr>
                <w:rFonts w:eastAsia="Times New Roman"/>
                <w:b/>
                <w:lang w:val="en-AU" w:eastAsia="en-AU"/>
              </w:rPr>
              <w:t>Other persons</w:t>
            </w:r>
          </w:p>
        </w:tc>
      </w:tr>
      <w:tr w:rsidR="007C6B19" w14:paraId="1FED07FC" w14:textId="77777777" w:rsidTr="009E2B48">
        <w:trPr>
          <w:trHeight w:val="20"/>
          <w:tblHeader/>
          <w:jc w:val="center"/>
        </w:trPr>
        <w:tc>
          <w:tcPr>
            <w:tcW w:w="846" w:type="dxa"/>
            <w:vAlign w:val="center"/>
          </w:tcPr>
          <w:p w14:paraId="58EF4CF9" w14:textId="77777777" w:rsidR="00E3550B" w:rsidRPr="00AA3A72" w:rsidRDefault="00E3550B" w:rsidP="00E3550B">
            <w:pPr>
              <w:pStyle w:val="ListParagraph"/>
              <w:numPr>
                <w:ilvl w:val="0"/>
                <w:numId w:val="35"/>
              </w:numPr>
              <w:suppressAutoHyphens/>
              <w:spacing w:before="0" w:after="240"/>
              <w:rPr>
                <w:rFonts w:eastAsia="Times New Roman"/>
                <w:color w:val="4BACC6" w:themeColor="accent5"/>
                <w:u w:val="single"/>
                <w:lang w:val="en-AU" w:eastAsia="en-AU"/>
              </w:rPr>
            </w:pPr>
          </w:p>
        </w:tc>
        <w:tc>
          <w:tcPr>
            <w:tcW w:w="1559" w:type="dxa"/>
          </w:tcPr>
          <w:p w14:paraId="6F68CC36" w14:textId="77777777" w:rsidR="00E3550B" w:rsidRPr="00AA3A72" w:rsidRDefault="00E3550B" w:rsidP="002B3E71">
            <w:pPr>
              <w:suppressAutoHyphens/>
              <w:spacing w:after="240"/>
              <w:ind w:left="284"/>
              <w:jc w:val="center"/>
              <w:rPr>
                <w:rFonts w:eastAsia="Times New Roman"/>
                <w:lang w:eastAsia="en-AU"/>
              </w:rPr>
            </w:pPr>
            <w:r w:rsidRPr="00AA3A72">
              <w:rPr>
                <w:rFonts w:eastAsia="Times New Roman"/>
                <w:lang w:eastAsia="en-AU"/>
              </w:rPr>
              <w:t>s154(2)</w:t>
            </w:r>
          </w:p>
        </w:tc>
        <w:tc>
          <w:tcPr>
            <w:tcW w:w="7672" w:type="dxa"/>
          </w:tcPr>
          <w:p w14:paraId="226F3911" w14:textId="77777777" w:rsidR="00E3550B" w:rsidRPr="00AA3A72" w:rsidRDefault="00E3550B" w:rsidP="007C6B19">
            <w:pPr>
              <w:pStyle w:val="ListParagraph"/>
              <w:suppressAutoHyphens/>
              <w:spacing w:after="240"/>
              <w:ind w:left="0"/>
              <w:contextualSpacing w:val="0"/>
              <w:jc w:val="left"/>
              <w:rPr>
                <w:rFonts w:eastAsia="Times New Roman"/>
                <w:lang w:val="en-AU" w:eastAsia="en-AU"/>
              </w:rPr>
            </w:pPr>
            <w:r w:rsidRPr="00AA3A72">
              <w:rPr>
                <w:rFonts w:eastAsia="Times New Roman"/>
                <w:lang w:val="en-AU" w:eastAsia="en-AU"/>
              </w:rPr>
              <w:t>C</w:t>
            </w:r>
            <w:r w:rsidR="007C6B19" w:rsidRPr="00AA3A72">
              <w:rPr>
                <w:rFonts w:eastAsia="Times New Roman"/>
                <w:lang w:val="en-AU" w:eastAsia="en-AU"/>
              </w:rPr>
              <w:t xml:space="preserve">ommunication problems - </w:t>
            </w:r>
            <w:r w:rsidRPr="00AA3A72">
              <w:rPr>
                <w:rFonts w:eastAsia="Times New Roman"/>
                <w:lang w:val="en-AU" w:eastAsia="en-AU"/>
              </w:rPr>
              <w:t>Ensuring client understands things told or explained to the client</w:t>
            </w:r>
          </w:p>
        </w:tc>
      </w:tr>
    </w:tbl>
    <w:p w14:paraId="06ECBC9B" w14:textId="32B5D1B3" w:rsidR="008354EA" w:rsidRDefault="008354EA" w:rsidP="00A04215">
      <w:r w:rsidRPr="008354EA">
        <w:t>Records regarding legislative decision making and functions must be recorded on the Forensic Disability Act Information System (FDAIS) where this functionality exists</w:t>
      </w:r>
      <w:r>
        <w:t xml:space="preserve"> (including utilising built in functionality, case noting information </w:t>
      </w:r>
      <w:r w:rsidR="008D52D7">
        <w:t>and/</w:t>
      </w:r>
      <w:r>
        <w:t xml:space="preserve">or attaching paper-based documents to the system where </w:t>
      </w:r>
      <w:r w:rsidR="00732C81">
        <w:t>appropriate</w:t>
      </w:r>
      <w:r>
        <w:t>)</w:t>
      </w:r>
      <w:r w:rsidRPr="008354EA">
        <w:t xml:space="preserve">. FDAIS is an electronic information management system which forms a key component of the client file. Records regarding a client may also be held on other forms of the client file including FDS electronic file management system (e.g., iDOCS) or a physical client file. </w:t>
      </w:r>
      <w:r w:rsidR="00C0355E">
        <w:t>T</w:t>
      </w:r>
      <w:r w:rsidR="00C0355E" w:rsidRPr="00D919B0">
        <w:t xml:space="preserve">he </w:t>
      </w:r>
      <w:r w:rsidR="00C0355E">
        <w:t>Administrator</w:t>
      </w:r>
      <w:r w:rsidR="00C0355E" w:rsidRPr="00D919B0">
        <w:t xml:space="preserve"> must ensure that staff at the FDS comply with their legislative requirements in relation to</w:t>
      </w:r>
      <w:r w:rsidR="00C0355E">
        <w:t xml:space="preserve"> the keeping of records</w:t>
      </w:r>
      <w:r w:rsidR="00C0355E" w:rsidRPr="00D919B0">
        <w:t xml:space="preserve">. </w:t>
      </w:r>
    </w:p>
    <w:p w14:paraId="460FA6C9" w14:textId="77777777" w:rsidR="00C0355E" w:rsidRPr="00A04215" w:rsidRDefault="00C0355E" w:rsidP="00A04215">
      <w:pPr>
        <w:pStyle w:val="Heading2"/>
        <w:rPr>
          <w:i/>
          <w:szCs w:val="24"/>
        </w:rPr>
      </w:pPr>
      <w:r w:rsidRPr="00A04215">
        <w:rPr>
          <w:szCs w:val="24"/>
        </w:rPr>
        <w:t>R</w:t>
      </w:r>
      <w:r w:rsidR="00A04215" w:rsidRPr="00A04215">
        <w:rPr>
          <w:szCs w:val="24"/>
        </w:rPr>
        <w:t xml:space="preserve">ecordkeeping requirements under the Public Records Act </w:t>
      </w:r>
      <w:r w:rsidRPr="00A04215">
        <w:rPr>
          <w:i/>
          <w:szCs w:val="24"/>
        </w:rPr>
        <w:t xml:space="preserve">2002 </w:t>
      </w:r>
    </w:p>
    <w:p w14:paraId="617E4F2D" w14:textId="68CACDBB" w:rsidR="00C0355E" w:rsidRPr="009E17FF" w:rsidRDefault="00C0355E" w:rsidP="00A04215">
      <w:r w:rsidRPr="00B056E0">
        <w:t xml:space="preserve">The FDS is a </w:t>
      </w:r>
      <w:r w:rsidRPr="004F658D">
        <w:t>business unit</w:t>
      </w:r>
      <w:r w:rsidRPr="00C379CB">
        <w:rPr>
          <w:color w:val="FF0000"/>
        </w:rPr>
        <w:t xml:space="preserve"> </w:t>
      </w:r>
      <w:r w:rsidRPr="00B056E0">
        <w:t xml:space="preserve">of the </w:t>
      </w:r>
      <w:r w:rsidR="00E73A40">
        <w:rPr>
          <w:i/>
          <w:iCs/>
        </w:rPr>
        <w:t>Department of Seniors, Disability Services and Aboriginal and Torres Strait Islander Partnerships</w:t>
      </w:r>
      <w:r w:rsidRPr="00B056E0">
        <w:t xml:space="preserve">. </w:t>
      </w:r>
      <w:r w:rsidRPr="009E17FF">
        <w:t xml:space="preserve">As such, certain obligations are imposed on the FDS by the </w:t>
      </w:r>
      <w:r w:rsidRPr="009E17FF">
        <w:rPr>
          <w:i/>
        </w:rPr>
        <w:t xml:space="preserve">Public Records Act 2002 </w:t>
      </w:r>
      <w:r w:rsidRPr="009E17FF">
        <w:t>(PR Act).  For example, under section 7 of the PR Act</w:t>
      </w:r>
      <w:r>
        <w:t>,</w:t>
      </w:r>
      <w:r w:rsidRPr="009E17FF">
        <w:t xml:space="preserve"> the FDS must keep full and accurate records of its activities and have regard to standards and guidelines made by the archivist about the making a</w:t>
      </w:r>
      <w:r>
        <w:t>nd</w:t>
      </w:r>
      <w:r w:rsidRPr="009E17FF">
        <w:t xml:space="preserve"> keeping of public records. </w:t>
      </w:r>
    </w:p>
    <w:p w14:paraId="1BB69173" w14:textId="709BD819" w:rsidR="00667BA3" w:rsidRDefault="00C0355E" w:rsidP="00667BA3">
      <w:r w:rsidRPr="009E17FF">
        <w:t xml:space="preserve">The </w:t>
      </w:r>
      <w:r w:rsidR="00E73A40" w:rsidRPr="008D52D7">
        <w:rPr>
          <w:i/>
          <w:iCs/>
        </w:rPr>
        <w:t>Department of Seniors, Disability Services and Aboriginal and Torres Strait Islander Partnerships</w:t>
      </w:r>
      <w:r w:rsidRPr="009E17FF">
        <w:t xml:space="preserve"> has policies and procedures addressing the governance of records </w:t>
      </w:r>
      <w:r>
        <w:t>–</w:t>
      </w:r>
      <w:r w:rsidRPr="009E17FF">
        <w:t xml:space="preserve"> t</w:t>
      </w:r>
      <w:r>
        <w:t>hese policies and procedures</w:t>
      </w:r>
      <w:r w:rsidRPr="009E17FF">
        <w:t xml:space="preserve"> appl</w:t>
      </w:r>
      <w:r>
        <w:t>y</w:t>
      </w:r>
      <w:r w:rsidRPr="009E17FF">
        <w:t xml:space="preserve"> to the FDS (</w:t>
      </w:r>
      <w:r>
        <w:t xml:space="preserve">for example, </w:t>
      </w:r>
      <w:r w:rsidRPr="009E17FF">
        <w:t xml:space="preserve">please refer to </w:t>
      </w:r>
      <w:r w:rsidR="00667BA3" w:rsidRPr="008D52D7">
        <w:rPr>
          <w:i/>
          <w:iCs/>
        </w:rPr>
        <w:t>Department of Seniors, Disability Services and Aboriginal and Torres Strait Islander Partnerships – Corporate Services Policy and Procedure – Records Governance</w:t>
      </w:r>
      <w:r w:rsidR="00667BA3">
        <w:rPr>
          <w:i/>
        </w:rPr>
        <w:t xml:space="preserve"> </w:t>
      </w:r>
      <w:r w:rsidR="00667BA3" w:rsidRPr="000B4D0C">
        <w:rPr>
          <w:i/>
        </w:rPr>
        <w:t>et al</w:t>
      </w:r>
      <w:r w:rsidR="00667BA3">
        <w:t>.</w:t>
      </w:r>
      <w:r w:rsidR="00667BA3" w:rsidRPr="009E17FF">
        <w:t xml:space="preserve">). </w:t>
      </w:r>
    </w:p>
    <w:p w14:paraId="16F6857A" w14:textId="76995D59" w:rsidR="00C0355E" w:rsidRDefault="00C0355E" w:rsidP="00A04215">
      <w:r>
        <w:t xml:space="preserve">The </w:t>
      </w:r>
      <w:r w:rsidR="00667BA3" w:rsidRPr="008D52D7">
        <w:rPr>
          <w:i/>
          <w:iCs/>
        </w:rPr>
        <w:t xml:space="preserve">Department of Seniors, Disability Services and Aboriginal and Torres Strait Islander Partnerships </w:t>
      </w:r>
      <w:r w:rsidRPr="008D52D7">
        <w:rPr>
          <w:i/>
          <w:iCs/>
        </w:rPr>
        <w:t xml:space="preserve">– </w:t>
      </w:r>
      <w:r w:rsidR="00667BA3" w:rsidRPr="008D52D7">
        <w:rPr>
          <w:i/>
          <w:iCs/>
        </w:rPr>
        <w:t>Corporate Services</w:t>
      </w:r>
      <w:r w:rsidRPr="008D52D7">
        <w:rPr>
          <w:i/>
          <w:iCs/>
        </w:rPr>
        <w:t xml:space="preserve"> Procedure – Records Governance</w:t>
      </w:r>
      <w:r>
        <w:rPr>
          <w:i/>
        </w:rPr>
        <w:t xml:space="preserve"> </w:t>
      </w:r>
      <w:r>
        <w:t xml:space="preserve">states amongst other things: </w:t>
      </w:r>
    </w:p>
    <w:p w14:paraId="0A6B4468" w14:textId="6BAF0EF0" w:rsidR="00C0355E" w:rsidRPr="00AA6D5A" w:rsidRDefault="00C0355E" w:rsidP="00A04215">
      <w:pPr>
        <w:pStyle w:val="ListParagraph"/>
        <w:numPr>
          <w:ilvl w:val="0"/>
          <w:numId w:val="0"/>
        </w:numPr>
        <w:suppressAutoHyphens/>
        <w:spacing w:after="240"/>
        <w:ind w:left="646"/>
        <w:contextualSpacing w:val="0"/>
        <w:rPr>
          <w:rFonts w:eastAsia="Times New Roman"/>
          <w:i/>
          <w:lang w:val="en-AU" w:eastAsia="en-AU"/>
        </w:rPr>
      </w:pPr>
      <w:r w:rsidRPr="00667BA3">
        <w:rPr>
          <w:rFonts w:eastAsia="Times New Roman"/>
          <w:i/>
          <w:lang w:val="en-AU" w:eastAsia="en-AU"/>
        </w:rPr>
        <w:t>“</w:t>
      </w:r>
      <w:r w:rsidR="00667BA3" w:rsidRPr="00667BA3">
        <w:rPr>
          <w:i/>
          <w:iCs/>
        </w:rPr>
        <w:t>It is the responsibility of all departmental employees to ensure records of all business activities and decisions are adequately documented, preserved and made accessible for as long as required</w:t>
      </w:r>
      <w:r w:rsidRPr="00667BA3">
        <w:rPr>
          <w:rFonts w:eastAsia="Times New Roman"/>
          <w:i/>
          <w:lang w:val="en-AU" w:eastAsia="en-AU"/>
        </w:rPr>
        <w:t>.”</w:t>
      </w:r>
    </w:p>
    <w:p w14:paraId="502C0E44" w14:textId="1D23D31A" w:rsidR="00C0355E" w:rsidRDefault="00C0355E" w:rsidP="00A04215">
      <w:r>
        <w:t xml:space="preserve">In accordance with the abovementioned departmental procedure, FDS staff members must ensure </w:t>
      </w:r>
      <w:r w:rsidR="0013230E">
        <w:t xml:space="preserve">important </w:t>
      </w:r>
      <w:r>
        <w:t xml:space="preserve">client records referred to in the Act are maintained and placed on the client file, such as the client’s Individual Development Plan and Limited Community Treatment records. Furthermore, FDS staff members should </w:t>
      </w:r>
      <w:r w:rsidRPr="00AA6D5A">
        <w:rPr>
          <w:b/>
        </w:rPr>
        <w:t>document</w:t>
      </w:r>
      <w:r>
        <w:t xml:space="preserve"> client observations and interactions with the client relevant to the client’s detention, assessment, care and support. </w:t>
      </w:r>
    </w:p>
    <w:p w14:paraId="452C214B" w14:textId="396C7A59" w:rsidR="00C0355E" w:rsidRDefault="00C0355E" w:rsidP="00A04215">
      <w:pPr>
        <w:rPr>
          <w:color w:val="4BACC6" w:themeColor="accent5"/>
        </w:rPr>
      </w:pPr>
      <w:r w:rsidRPr="009E17FF">
        <w:t xml:space="preserve">The </w:t>
      </w:r>
      <w:r>
        <w:t xml:space="preserve">Administrator </w:t>
      </w:r>
      <w:r w:rsidRPr="009E17FF">
        <w:t xml:space="preserve">should ensure that all FDS staff are aware of the </w:t>
      </w:r>
      <w:r w:rsidR="00E73A40">
        <w:rPr>
          <w:i/>
          <w:iCs/>
        </w:rPr>
        <w:t>Department of Seniors, Disability Services and Aboriginal and Torres Strait Islander Partnerships</w:t>
      </w:r>
      <w:r>
        <w:t xml:space="preserve"> - Policies and P</w:t>
      </w:r>
      <w:r w:rsidRPr="009E17FF">
        <w:t>rocedure in relation to the</w:t>
      </w:r>
      <w:r>
        <w:t xml:space="preserve"> documentation and</w:t>
      </w:r>
      <w:r w:rsidRPr="009E17FF">
        <w:t xml:space="preserve"> governance of</w:t>
      </w:r>
      <w:r>
        <w:t xml:space="preserve"> records </w:t>
      </w:r>
      <w:r w:rsidRPr="009E17FF">
        <w:t>at the FDS.</w:t>
      </w:r>
    </w:p>
    <w:p w14:paraId="68F68591" w14:textId="77777777" w:rsidR="001315A3" w:rsidRDefault="001315A3">
      <w:pPr>
        <w:spacing w:before="0"/>
        <w:jc w:val="left"/>
        <w:rPr>
          <w:rFonts w:eastAsia="MS Mincho"/>
          <w:b/>
          <w:sz w:val="24"/>
          <w:szCs w:val="24"/>
          <w:lang w:val="en-US" w:eastAsia="en-US"/>
        </w:rPr>
      </w:pPr>
      <w:r>
        <w:rPr>
          <w:szCs w:val="24"/>
        </w:rPr>
        <w:br w:type="page"/>
      </w:r>
    </w:p>
    <w:p w14:paraId="490604E0" w14:textId="482906CB" w:rsidR="00C0355E" w:rsidRPr="00A04215" w:rsidRDefault="00C0355E" w:rsidP="00A04215">
      <w:pPr>
        <w:pStyle w:val="Heading2"/>
        <w:rPr>
          <w:color w:val="4BACC6" w:themeColor="accent5"/>
          <w:szCs w:val="24"/>
        </w:rPr>
      </w:pPr>
      <w:r w:rsidRPr="00A04215">
        <w:rPr>
          <w:szCs w:val="24"/>
        </w:rPr>
        <w:lastRenderedPageBreak/>
        <w:t>Proviso</w:t>
      </w:r>
    </w:p>
    <w:p w14:paraId="06F5DBEC" w14:textId="7C307EE6" w:rsidR="00C0355E" w:rsidRDefault="00C0355E" w:rsidP="00A04215">
      <w:r w:rsidRPr="00571B60">
        <w:t>Any suggestions made by the Director of Forensic Disability</w:t>
      </w:r>
      <w:r>
        <w:t xml:space="preserve"> in relation to the documentation and governance of records </w:t>
      </w:r>
      <w:r w:rsidRPr="00571B60">
        <w:t>at the FDS</w:t>
      </w:r>
      <w:r>
        <w:t xml:space="preserve"> </w:t>
      </w:r>
      <w:r w:rsidRPr="00571B60">
        <w:t>may be overridden by</w:t>
      </w:r>
      <w:r>
        <w:t xml:space="preserve"> departmental policy and procedure. The FDS is a </w:t>
      </w:r>
      <w:r w:rsidRPr="004F658D">
        <w:t>business unit</w:t>
      </w:r>
      <w:r>
        <w:t xml:space="preserve"> of the </w:t>
      </w:r>
      <w:r w:rsidR="00E73A40">
        <w:rPr>
          <w:i/>
          <w:iCs/>
        </w:rPr>
        <w:t>Department of Seniors, Disability Services and Aboriginal and Torres Strait Islander Partnerships</w:t>
      </w:r>
      <w:r>
        <w:t xml:space="preserve"> and as such the FDS must comply with policies and procedures of the </w:t>
      </w:r>
      <w:r w:rsidR="00E73A40">
        <w:rPr>
          <w:i/>
          <w:iCs/>
        </w:rPr>
        <w:t>Department of Seniors, Disability Services and Aboriginal and Torres Strait Islander Partnerships</w:t>
      </w:r>
      <w:r>
        <w:t xml:space="preserve"> (for example human resource, financial </w:t>
      </w:r>
      <w:r w:rsidR="00D77620">
        <w:t>and other administrative record</w:t>
      </w:r>
      <w:r>
        <w:t xml:space="preserve">keeping). </w:t>
      </w:r>
    </w:p>
    <w:p w14:paraId="21029858" w14:textId="1091425F" w:rsidR="00C0355E" w:rsidRDefault="00C0355E" w:rsidP="00A04215">
      <w:r>
        <w:t xml:space="preserve">The legislative functions and powers of the Director of Forensic Disability do not extend to issuing policies and procedures in relation to general recordkeeping at the FDS – a business unit of the </w:t>
      </w:r>
      <w:r w:rsidR="00E73A40">
        <w:rPr>
          <w:i/>
          <w:iCs/>
        </w:rPr>
        <w:t>Department of Seniors, Disability Services and Aboriginal and Torres Strait Islander Partnerships</w:t>
      </w:r>
      <w:r>
        <w:t xml:space="preserve">. </w:t>
      </w:r>
    </w:p>
    <w:p w14:paraId="7B9B36DD" w14:textId="4A6CD3B8" w:rsidR="00B966AD" w:rsidRPr="00B966AD" w:rsidRDefault="00B966AD" w:rsidP="00B966AD">
      <w:pPr>
        <w:tabs>
          <w:tab w:val="left" w:pos="2552"/>
        </w:tabs>
        <w:spacing w:before="720" w:after="240"/>
        <w:jc w:val="left"/>
        <w:rPr>
          <w:rFonts w:cs="Times New Roman"/>
        </w:rPr>
      </w:pPr>
      <w:r w:rsidRPr="00B966AD">
        <w:rPr>
          <w:rFonts w:cs="Times New Roman"/>
          <w:b/>
        </w:rPr>
        <w:t>Date of approval:</w:t>
      </w:r>
      <w:r w:rsidRPr="00B966AD">
        <w:rPr>
          <w:rFonts w:cs="Times New Roman"/>
        </w:rPr>
        <w:tab/>
      </w:r>
      <w:r w:rsidR="00AF69C6">
        <w:rPr>
          <w:rFonts w:cs="Times New Roman"/>
        </w:rPr>
        <w:t>09 January</w:t>
      </w:r>
      <w:r w:rsidR="00AF69C6" w:rsidRPr="00B966AD">
        <w:rPr>
          <w:rFonts w:cs="Times New Roman"/>
        </w:rPr>
        <w:t xml:space="preserve"> 202</w:t>
      </w:r>
      <w:r w:rsidR="00AF69C6">
        <w:rPr>
          <w:rFonts w:cs="Times New Roman"/>
        </w:rPr>
        <w:t>3</w:t>
      </w:r>
    </w:p>
    <w:p w14:paraId="0C94C6C2" w14:textId="2A447055" w:rsidR="00B966AD" w:rsidRPr="00B966AD" w:rsidRDefault="00B966AD" w:rsidP="00B966AD">
      <w:pPr>
        <w:tabs>
          <w:tab w:val="left" w:pos="2552"/>
        </w:tabs>
        <w:spacing w:before="0" w:after="240"/>
        <w:jc w:val="left"/>
        <w:rPr>
          <w:rFonts w:cs="Times New Roman"/>
        </w:rPr>
      </w:pPr>
      <w:r w:rsidRPr="00B966AD">
        <w:rPr>
          <w:rFonts w:cs="Times New Roman"/>
          <w:b/>
        </w:rPr>
        <w:t>Date of operation:</w:t>
      </w:r>
      <w:r w:rsidRPr="00B966AD">
        <w:rPr>
          <w:rFonts w:cs="Times New Roman"/>
        </w:rPr>
        <w:tab/>
      </w:r>
      <w:r w:rsidR="00AF69C6">
        <w:rPr>
          <w:rFonts w:cs="Times New Roman"/>
        </w:rPr>
        <w:t>01 February</w:t>
      </w:r>
      <w:r w:rsidR="00AF69C6" w:rsidRPr="00B966AD">
        <w:rPr>
          <w:rFonts w:cs="Times New Roman"/>
        </w:rPr>
        <w:t xml:space="preserve"> 202</w:t>
      </w:r>
      <w:r w:rsidR="00AF69C6">
        <w:rPr>
          <w:rFonts w:cs="Times New Roman"/>
        </w:rPr>
        <w:t>3</w:t>
      </w:r>
    </w:p>
    <w:p w14:paraId="4299A75D" w14:textId="01472A85"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Date to be reviewed:</w:t>
      </w:r>
      <w:r w:rsidRPr="00B966AD">
        <w:rPr>
          <w:rFonts w:cs="Times New Roman"/>
        </w:rPr>
        <w:tab/>
      </w:r>
      <w:r w:rsidR="00AF69C6">
        <w:rPr>
          <w:rFonts w:cs="Times New Roman"/>
        </w:rPr>
        <w:t>01</w:t>
      </w:r>
      <w:r w:rsidR="00E8285A" w:rsidRPr="00B966AD">
        <w:rPr>
          <w:rFonts w:cs="Times New Roman"/>
        </w:rPr>
        <w:t xml:space="preserve"> </w:t>
      </w:r>
      <w:r w:rsidR="00AF69C6">
        <w:rPr>
          <w:rFonts w:cs="Times New Roman"/>
        </w:rPr>
        <w:t>February</w:t>
      </w:r>
      <w:r w:rsidR="00AF69C6" w:rsidRPr="00B966AD">
        <w:rPr>
          <w:rFonts w:cs="Times New Roman"/>
        </w:rPr>
        <w:t xml:space="preserve"> </w:t>
      </w:r>
      <w:r w:rsidRPr="00B966AD">
        <w:rPr>
          <w:rFonts w:cs="Times New Roman"/>
        </w:rPr>
        <w:t>202</w:t>
      </w:r>
      <w:r w:rsidR="003F6040">
        <w:rPr>
          <w:rFonts w:cs="Times New Roman"/>
        </w:rPr>
        <w:t>6</w:t>
      </w:r>
    </w:p>
    <w:p w14:paraId="1BB67F0B" w14:textId="015EB9C5" w:rsidR="00B966AD" w:rsidRPr="00B966AD" w:rsidRDefault="003F6040" w:rsidP="00B966AD">
      <w:pPr>
        <w:tabs>
          <w:tab w:val="left" w:pos="2552"/>
        </w:tabs>
        <w:spacing w:before="0" w:after="240"/>
        <w:jc w:val="left"/>
        <w:rPr>
          <w:rFonts w:cs="Times New Roman"/>
        </w:rPr>
      </w:pPr>
      <w:r>
        <w:rPr>
          <w:rFonts w:cs="Times New Roman"/>
          <w:b/>
        </w:rPr>
        <w:t>Designation</w:t>
      </w:r>
      <w:r w:rsidR="00B966AD" w:rsidRPr="00B966AD">
        <w:rPr>
          <w:rFonts w:cs="Times New Roman"/>
          <w:b/>
        </w:rPr>
        <w:t>:</w:t>
      </w:r>
      <w:r w:rsidR="00B966AD" w:rsidRPr="00B966AD">
        <w:rPr>
          <w:rFonts w:cs="Times New Roman"/>
        </w:rPr>
        <w:tab/>
        <w:t>Director of Forensic Disability</w:t>
      </w:r>
    </w:p>
    <w:p w14:paraId="43347DD2" w14:textId="51C4D762"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Help Contact:</w:t>
      </w:r>
      <w:r w:rsidRPr="00B966AD">
        <w:rPr>
          <w:rFonts w:cs="Times New Roman"/>
        </w:rPr>
        <w:tab/>
      </w:r>
      <w:hyperlink r:id="rId8" w:history="1">
        <w:r w:rsidR="003F6040">
          <w:rPr>
            <w:rFonts w:cs="Times New Roman"/>
            <w:color w:val="0000FF" w:themeColor="hyperlink"/>
            <w:u w:val="single"/>
          </w:rPr>
          <w:t>directorforensicdisability@dsdsatsip.qld.gov.au</w:t>
        </w:r>
      </w:hyperlink>
    </w:p>
    <w:p w14:paraId="4FCBBD4D" w14:textId="77777777" w:rsidR="00B966AD" w:rsidRPr="00B966AD" w:rsidRDefault="00B966AD" w:rsidP="00B966AD">
      <w:pPr>
        <w:spacing w:before="0" w:after="240"/>
        <w:jc w:val="left"/>
      </w:pPr>
      <w:r w:rsidRPr="00B966AD">
        <w:rPr>
          <w:rFonts w:cs="Times New Roman"/>
          <w:bCs/>
          <w:sz w:val="24"/>
          <w:szCs w:val="24"/>
        </w:rPr>
        <w:t>Jenny Lynas</w:t>
      </w:r>
      <w:r w:rsidRPr="00B966AD">
        <w:rPr>
          <w:rFonts w:cs="Times New Roman"/>
          <w:bCs/>
          <w:sz w:val="24"/>
          <w:szCs w:val="24"/>
        </w:rPr>
        <w:br/>
        <w:t>Director of Forensic Disability</w:t>
      </w:r>
    </w:p>
    <w:p w14:paraId="562A0EE9" w14:textId="77777777" w:rsidR="00B966AD" w:rsidRPr="00A72C57" w:rsidRDefault="00B966AD" w:rsidP="00B966AD">
      <w:pPr>
        <w:spacing w:after="240"/>
        <w:jc w:val="left"/>
        <w:rPr>
          <w:lang w:val="en-US"/>
        </w:rPr>
      </w:pPr>
    </w:p>
    <w:sectPr w:rsidR="00B966AD" w:rsidRPr="00A72C57" w:rsidSect="00A60914">
      <w:headerReference w:type="default" r:id="rId9"/>
      <w:footerReference w:type="default" r:id="rId10"/>
      <w:headerReference w:type="first" r:id="rId11"/>
      <w:footerReference w:type="first" r:id="rId12"/>
      <w:type w:val="continuous"/>
      <w:pgSz w:w="11906" w:h="16838"/>
      <w:pgMar w:top="2268" w:right="1134" w:bottom="1701" w:left="1134" w:header="709" w:footer="147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E2F2" w14:textId="77777777" w:rsidR="00976D7C" w:rsidRDefault="00976D7C" w:rsidP="00E001FD">
      <w:r>
        <w:separator/>
      </w:r>
    </w:p>
  </w:endnote>
  <w:endnote w:type="continuationSeparator" w:id="0">
    <w:p w14:paraId="530E5464" w14:textId="77777777" w:rsidR="00976D7C" w:rsidRDefault="00976D7C" w:rsidP="00E0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66769"/>
      <w:docPartObj>
        <w:docPartGallery w:val="Page Numbers (Bottom of Page)"/>
        <w:docPartUnique/>
      </w:docPartObj>
    </w:sdtPr>
    <w:sdtEndPr>
      <w:rPr>
        <w:noProof/>
      </w:rPr>
    </w:sdtEndPr>
    <w:sdtContent>
      <w:p w14:paraId="6931D9AA" w14:textId="77777777" w:rsidR="004F3C85" w:rsidRDefault="004F3C85">
        <w:pPr>
          <w:pStyle w:val="Footer"/>
          <w:jc w:val="right"/>
        </w:pPr>
        <w:r>
          <w:fldChar w:fldCharType="begin"/>
        </w:r>
        <w:r>
          <w:instrText xml:space="preserve"> PAGE   \* MERGEFORMAT </w:instrText>
        </w:r>
        <w:r>
          <w:fldChar w:fldCharType="separate"/>
        </w:r>
        <w:r w:rsidR="00CD70A4">
          <w:rPr>
            <w:noProof/>
          </w:rPr>
          <w:t>2</w:t>
        </w:r>
        <w:r>
          <w:rPr>
            <w:noProof/>
          </w:rPr>
          <w:fldChar w:fldCharType="end"/>
        </w:r>
      </w:p>
    </w:sdtContent>
  </w:sdt>
  <w:p w14:paraId="3878388F" w14:textId="77777777" w:rsidR="004F3C85" w:rsidRDefault="004F3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309259"/>
      <w:docPartObj>
        <w:docPartGallery w:val="Page Numbers (Bottom of Page)"/>
        <w:docPartUnique/>
      </w:docPartObj>
    </w:sdtPr>
    <w:sdtEndPr>
      <w:rPr>
        <w:noProof/>
      </w:rPr>
    </w:sdtEndPr>
    <w:sdtContent>
      <w:p w14:paraId="4E3BF3F2" w14:textId="77777777" w:rsidR="004F3C85" w:rsidRDefault="004F3C85">
        <w:pPr>
          <w:pStyle w:val="Footer"/>
          <w:jc w:val="right"/>
        </w:pPr>
        <w:r>
          <w:fldChar w:fldCharType="begin"/>
        </w:r>
        <w:r>
          <w:instrText xml:space="preserve"> PAGE   \* MERGEFORMAT </w:instrText>
        </w:r>
        <w:r>
          <w:fldChar w:fldCharType="separate"/>
        </w:r>
        <w:r w:rsidR="00CD70A4">
          <w:rPr>
            <w:noProof/>
          </w:rPr>
          <w:t>1</w:t>
        </w:r>
        <w:r>
          <w:rPr>
            <w:noProof/>
          </w:rPr>
          <w:fldChar w:fldCharType="end"/>
        </w:r>
      </w:p>
    </w:sdtContent>
  </w:sdt>
  <w:p w14:paraId="6D0A6580" w14:textId="77777777" w:rsidR="004F3C85" w:rsidRDefault="004F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D59D" w14:textId="77777777" w:rsidR="00976D7C" w:rsidRDefault="00976D7C" w:rsidP="00E001FD">
      <w:r>
        <w:separator/>
      </w:r>
    </w:p>
  </w:footnote>
  <w:footnote w:type="continuationSeparator" w:id="0">
    <w:p w14:paraId="0ACAC158" w14:textId="77777777" w:rsidR="00976D7C" w:rsidRDefault="00976D7C" w:rsidP="00E0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DD72" w14:textId="77777777" w:rsidR="00715B7B" w:rsidRDefault="00715B7B">
    <w:pPr>
      <w:pStyle w:val="Header"/>
    </w:pPr>
    <w:r>
      <w:rPr>
        <w:noProof/>
      </w:rPr>
      <w:drawing>
        <wp:anchor distT="0" distB="0" distL="114300" distR="114300" simplePos="0" relativeHeight="251661312" behindDoc="1" locked="0" layoutInCell="1" allowOverlap="1" wp14:anchorId="4E261D66" wp14:editId="2742A0F5">
          <wp:simplePos x="0" y="0"/>
          <wp:positionH relativeFrom="column">
            <wp:posOffset>-720090</wp:posOffset>
          </wp:positionH>
          <wp:positionV relativeFrom="paragraph">
            <wp:posOffset>-450215</wp:posOffset>
          </wp:positionV>
          <wp:extent cx="7562849" cy="10689675"/>
          <wp:effectExtent l="0" t="0" r="635" b="0"/>
          <wp:wrapNone/>
          <wp:docPr id="1" name="Picture 1"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7CB6" w14:textId="77777777" w:rsidR="00715B7B" w:rsidRPr="00507C22" w:rsidRDefault="00715B7B" w:rsidP="00507C22">
    <w:pPr>
      <w:pStyle w:val="Header"/>
    </w:pPr>
    <w:r>
      <w:rPr>
        <w:noProof/>
      </w:rPr>
      <w:drawing>
        <wp:anchor distT="0" distB="0" distL="114300" distR="114300" simplePos="0" relativeHeight="251662336" behindDoc="1" locked="0" layoutInCell="1" allowOverlap="1" wp14:anchorId="422594BF" wp14:editId="36C830A4">
          <wp:simplePos x="0" y="0"/>
          <wp:positionH relativeFrom="page">
            <wp:posOffset>0</wp:posOffset>
          </wp:positionH>
          <wp:positionV relativeFrom="page">
            <wp:posOffset>8353</wp:posOffset>
          </wp:positionV>
          <wp:extent cx="7563599" cy="10690735"/>
          <wp:effectExtent l="0" t="0" r="0" b="0"/>
          <wp:wrapNone/>
          <wp:docPr id="2" name="Picture 2"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7D3"/>
    <w:multiLevelType w:val="hybridMultilevel"/>
    <w:tmpl w:val="99BE9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2A5DB3"/>
    <w:multiLevelType w:val="hybridMultilevel"/>
    <w:tmpl w:val="BF1E921C"/>
    <w:lvl w:ilvl="0" w:tplc="1A9E6930">
      <w:start w:val="1"/>
      <w:numFmt w:val="bullet"/>
      <w:pStyle w:val="ListParagraph"/>
      <w:lvlText w:val=""/>
      <w:lvlJc w:val="left"/>
      <w:pPr>
        <w:ind w:left="646" w:hanging="36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B443B7"/>
    <w:multiLevelType w:val="hybridMultilevel"/>
    <w:tmpl w:val="23D27566"/>
    <w:lvl w:ilvl="0" w:tplc="42529E36">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D087B"/>
    <w:multiLevelType w:val="multilevel"/>
    <w:tmpl w:val="B39CF032"/>
    <w:lvl w:ilvl="0">
      <w:start w:val="1"/>
      <w:numFmt w:val="decimal"/>
      <w:pStyle w:val="Heading2"/>
      <w:lvlText w:val="%1."/>
      <w:lvlJc w:val="left"/>
      <w:pPr>
        <w:ind w:left="482" w:hanging="482"/>
      </w:pPr>
      <w:rPr>
        <w:rFonts w:hint="default"/>
        <w:b/>
        <w:i w:val="0"/>
        <w:iCs/>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542440E"/>
    <w:multiLevelType w:val="hybridMultilevel"/>
    <w:tmpl w:val="E426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10312B"/>
    <w:multiLevelType w:val="hybridMultilevel"/>
    <w:tmpl w:val="CC0C9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4652B5"/>
    <w:multiLevelType w:val="hybridMultilevel"/>
    <w:tmpl w:val="B358C014"/>
    <w:lvl w:ilvl="0" w:tplc="42529E36">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A4E06"/>
    <w:multiLevelType w:val="hybridMultilevel"/>
    <w:tmpl w:val="56D46DBC"/>
    <w:lvl w:ilvl="0" w:tplc="05586FD2">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3853C8"/>
    <w:multiLevelType w:val="multilevel"/>
    <w:tmpl w:val="48B6E872"/>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FC353D"/>
    <w:multiLevelType w:val="hybridMultilevel"/>
    <w:tmpl w:val="BF049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253C7A"/>
    <w:multiLevelType w:val="hybridMultilevel"/>
    <w:tmpl w:val="9E1A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E66E9"/>
    <w:multiLevelType w:val="hybridMultilevel"/>
    <w:tmpl w:val="97201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532AF"/>
    <w:multiLevelType w:val="hybridMultilevel"/>
    <w:tmpl w:val="B3E60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665A03"/>
    <w:multiLevelType w:val="multilevel"/>
    <w:tmpl w:val="CB38B116"/>
    <w:lvl w:ilvl="0">
      <w:start w:val="5"/>
      <w:numFmt w:val="decimal"/>
      <w:lvlText w:val="%1"/>
      <w:lvlJc w:val="left"/>
      <w:pPr>
        <w:ind w:left="360" w:hanging="360"/>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8F00CA"/>
    <w:multiLevelType w:val="hybridMultilevel"/>
    <w:tmpl w:val="D36EB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E236E7"/>
    <w:multiLevelType w:val="hybridMultilevel"/>
    <w:tmpl w:val="FA4274B4"/>
    <w:lvl w:ilvl="0" w:tplc="49942B36">
      <w:start w:val="1"/>
      <w:numFmt w:val="lowerLetter"/>
      <w:lvlText w:val="%1)"/>
      <w:lvlJc w:val="left"/>
      <w:pPr>
        <w:ind w:left="646" w:hanging="362"/>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3B0E5632"/>
    <w:multiLevelType w:val="hybridMultilevel"/>
    <w:tmpl w:val="0AD4E4DC"/>
    <w:lvl w:ilvl="0" w:tplc="5EF6662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186817"/>
    <w:multiLevelType w:val="hybridMultilevel"/>
    <w:tmpl w:val="02E2D070"/>
    <w:lvl w:ilvl="0" w:tplc="0C090001">
      <w:start w:val="1"/>
      <w:numFmt w:val="bullet"/>
      <w:lvlText w:val=""/>
      <w:lvlJc w:val="left"/>
      <w:pPr>
        <w:ind w:left="646" w:hanging="362"/>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9573F8"/>
    <w:multiLevelType w:val="hybridMultilevel"/>
    <w:tmpl w:val="BE6E3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4E3476"/>
    <w:multiLevelType w:val="multilevel"/>
    <w:tmpl w:val="897A80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263F47"/>
    <w:multiLevelType w:val="hybridMultilevel"/>
    <w:tmpl w:val="95124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634B39"/>
    <w:multiLevelType w:val="hybridMultilevel"/>
    <w:tmpl w:val="FE548D82"/>
    <w:lvl w:ilvl="0" w:tplc="4B741276">
      <w:start w:val="7"/>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96565A5"/>
    <w:multiLevelType w:val="hybridMultilevel"/>
    <w:tmpl w:val="70CCD468"/>
    <w:lvl w:ilvl="0" w:tplc="05586FD2">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906C5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2205D8"/>
    <w:multiLevelType w:val="hybridMultilevel"/>
    <w:tmpl w:val="AD508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90036"/>
    <w:multiLevelType w:val="hybridMultilevel"/>
    <w:tmpl w:val="DD84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300CF"/>
    <w:multiLevelType w:val="hybridMultilevel"/>
    <w:tmpl w:val="D2049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4C20C9"/>
    <w:multiLevelType w:val="hybridMultilevel"/>
    <w:tmpl w:val="D7CE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172A71"/>
    <w:multiLevelType w:val="hybridMultilevel"/>
    <w:tmpl w:val="F634C4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FA7AF6"/>
    <w:multiLevelType w:val="hybridMultilevel"/>
    <w:tmpl w:val="A03ED95E"/>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785"/>
        </w:tabs>
        <w:ind w:left="785" w:hanging="360"/>
      </w:pPr>
      <w:rPr>
        <w:rFonts w:ascii="Symbol" w:hAnsi="Symbol" w:hint="default"/>
      </w:rPr>
    </w:lvl>
    <w:lvl w:ilvl="2" w:tplc="0C090003">
      <w:start w:val="1"/>
      <w:numFmt w:val="bullet"/>
      <w:lvlText w:val="o"/>
      <w:lvlJc w:val="left"/>
      <w:pPr>
        <w:tabs>
          <w:tab w:val="num" w:pos="1211"/>
        </w:tabs>
        <w:ind w:left="1211" w:hanging="360"/>
      </w:pPr>
      <w:rPr>
        <w:rFonts w:ascii="Courier New" w:hAnsi="Courier New" w:cs="Courier New"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E377CF"/>
    <w:multiLevelType w:val="hybridMultilevel"/>
    <w:tmpl w:val="D0CCE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EE45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18637D"/>
    <w:multiLevelType w:val="hybridMultilevel"/>
    <w:tmpl w:val="C03C60C4"/>
    <w:lvl w:ilvl="0" w:tplc="DB5CE0C8">
      <w:start w:val="1"/>
      <w:numFmt w:val="decimal"/>
      <w:lvlText w:val="%1."/>
      <w:lvlJc w:val="left"/>
      <w:pPr>
        <w:ind w:left="720" w:hanging="360"/>
      </w:pPr>
      <w:rPr>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0E7E1F"/>
    <w:multiLevelType w:val="hybridMultilevel"/>
    <w:tmpl w:val="7FEAC7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7"/>
  </w:num>
  <w:num w:numId="2">
    <w:abstractNumId w:val="28"/>
  </w:num>
  <w:num w:numId="3">
    <w:abstractNumId w:val="19"/>
  </w:num>
  <w:num w:numId="4">
    <w:abstractNumId w:val="12"/>
  </w:num>
  <w:num w:numId="5">
    <w:abstractNumId w:val="13"/>
  </w:num>
  <w:num w:numId="6">
    <w:abstractNumId w:val="2"/>
  </w:num>
  <w:num w:numId="7">
    <w:abstractNumId w:val="7"/>
  </w:num>
  <w:num w:numId="8">
    <w:abstractNumId w:val="23"/>
  </w:num>
  <w:num w:numId="9">
    <w:abstractNumId w:val="30"/>
  </w:num>
  <w:num w:numId="10">
    <w:abstractNumId w:val="6"/>
  </w:num>
  <w:num w:numId="11">
    <w:abstractNumId w:val="3"/>
  </w:num>
  <w:num w:numId="12">
    <w:abstractNumId w:val="25"/>
  </w:num>
  <w:num w:numId="13">
    <w:abstractNumId w:val="26"/>
  </w:num>
  <w:num w:numId="14">
    <w:abstractNumId w:val="5"/>
  </w:num>
  <w:num w:numId="15">
    <w:abstractNumId w:val="27"/>
  </w:num>
  <w:num w:numId="16">
    <w:abstractNumId w:val="9"/>
  </w:num>
  <w:num w:numId="17">
    <w:abstractNumId w:val="31"/>
  </w:num>
  <w:num w:numId="18">
    <w:abstractNumId w:val="4"/>
  </w:num>
  <w:num w:numId="19">
    <w:abstractNumId w:val="14"/>
  </w:num>
  <w:num w:numId="20">
    <w:abstractNumId w:val="20"/>
  </w:num>
  <w:num w:numId="21">
    <w:abstractNumId w:val="1"/>
  </w:num>
  <w:num w:numId="22">
    <w:abstractNumId w:val="15"/>
  </w:num>
  <w:num w:numId="23">
    <w:abstractNumId w:val="11"/>
  </w:num>
  <w:num w:numId="24">
    <w:abstractNumId w:val="34"/>
  </w:num>
  <w:num w:numId="25">
    <w:abstractNumId w:val="29"/>
  </w:num>
  <w:num w:numId="26">
    <w:abstractNumId w:val="24"/>
  </w:num>
  <w:num w:numId="27">
    <w:abstractNumId w:val="32"/>
  </w:num>
  <w:num w:numId="28">
    <w:abstractNumId w:val="10"/>
  </w:num>
  <w:num w:numId="29">
    <w:abstractNumId w:val="0"/>
  </w:num>
  <w:num w:numId="30">
    <w:abstractNumId w:val="1"/>
    <w:lvlOverride w:ilvl="0">
      <w:startOverride w:val="1"/>
    </w:lvlOverride>
  </w:num>
  <w:num w:numId="31">
    <w:abstractNumId w:val="21"/>
  </w:num>
  <w:num w:numId="32">
    <w:abstractNumId w:val="8"/>
  </w:num>
  <w:num w:numId="33">
    <w:abstractNumId w:val="16"/>
  </w:num>
  <w:num w:numId="34">
    <w:abstractNumId w:val="22"/>
  </w:num>
  <w:num w:numId="35">
    <w:abstractNumId w:val="3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1718"/>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1874"/>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C20"/>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120D"/>
    <w:rsid w:val="0012336C"/>
    <w:rsid w:val="00125A9E"/>
    <w:rsid w:val="00127308"/>
    <w:rsid w:val="00130032"/>
    <w:rsid w:val="00130C1C"/>
    <w:rsid w:val="001315A3"/>
    <w:rsid w:val="0013230E"/>
    <w:rsid w:val="00133095"/>
    <w:rsid w:val="0013414A"/>
    <w:rsid w:val="0013444A"/>
    <w:rsid w:val="00135734"/>
    <w:rsid w:val="0013646B"/>
    <w:rsid w:val="0014155E"/>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13B"/>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7454"/>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0BE0"/>
    <w:rsid w:val="002129B4"/>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1CB"/>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3E71"/>
    <w:rsid w:val="002B49FD"/>
    <w:rsid w:val="002B5766"/>
    <w:rsid w:val="002B68EB"/>
    <w:rsid w:val="002B79FA"/>
    <w:rsid w:val="002C00E2"/>
    <w:rsid w:val="002C031A"/>
    <w:rsid w:val="002C2056"/>
    <w:rsid w:val="002C36FB"/>
    <w:rsid w:val="002C4A3F"/>
    <w:rsid w:val="002C5874"/>
    <w:rsid w:val="002C5B5D"/>
    <w:rsid w:val="002C6264"/>
    <w:rsid w:val="002C6E0A"/>
    <w:rsid w:val="002C6EEF"/>
    <w:rsid w:val="002D00A4"/>
    <w:rsid w:val="002D06B2"/>
    <w:rsid w:val="002D0721"/>
    <w:rsid w:val="002D4343"/>
    <w:rsid w:val="002D5AE6"/>
    <w:rsid w:val="002D6A05"/>
    <w:rsid w:val="002D7384"/>
    <w:rsid w:val="002D7630"/>
    <w:rsid w:val="002D7E4C"/>
    <w:rsid w:val="002E124C"/>
    <w:rsid w:val="002E1557"/>
    <w:rsid w:val="002E176F"/>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4A54"/>
    <w:rsid w:val="00317A94"/>
    <w:rsid w:val="00317B8E"/>
    <w:rsid w:val="00322263"/>
    <w:rsid w:val="00322C3D"/>
    <w:rsid w:val="00323C8B"/>
    <w:rsid w:val="0032578E"/>
    <w:rsid w:val="00325B61"/>
    <w:rsid w:val="00326E26"/>
    <w:rsid w:val="00333B37"/>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3F9"/>
    <w:rsid w:val="003E7C50"/>
    <w:rsid w:val="003F12D9"/>
    <w:rsid w:val="003F23A0"/>
    <w:rsid w:val="003F43AA"/>
    <w:rsid w:val="003F542F"/>
    <w:rsid w:val="003F5FFA"/>
    <w:rsid w:val="003F6040"/>
    <w:rsid w:val="003F6637"/>
    <w:rsid w:val="003F732D"/>
    <w:rsid w:val="003F7835"/>
    <w:rsid w:val="003F78B9"/>
    <w:rsid w:val="00404398"/>
    <w:rsid w:val="0040542C"/>
    <w:rsid w:val="00405BBC"/>
    <w:rsid w:val="00405FA8"/>
    <w:rsid w:val="00407088"/>
    <w:rsid w:val="00407B5D"/>
    <w:rsid w:val="00407E9C"/>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3C85"/>
    <w:rsid w:val="004F40EF"/>
    <w:rsid w:val="004F548E"/>
    <w:rsid w:val="004F674A"/>
    <w:rsid w:val="004F765F"/>
    <w:rsid w:val="004F7D0B"/>
    <w:rsid w:val="005032D0"/>
    <w:rsid w:val="00505399"/>
    <w:rsid w:val="005054A9"/>
    <w:rsid w:val="00505563"/>
    <w:rsid w:val="005056CC"/>
    <w:rsid w:val="00505AF0"/>
    <w:rsid w:val="00505C16"/>
    <w:rsid w:val="00506B14"/>
    <w:rsid w:val="00506D3C"/>
    <w:rsid w:val="00506DFC"/>
    <w:rsid w:val="00506FD1"/>
    <w:rsid w:val="00507C22"/>
    <w:rsid w:val="00507EE7"/>
    <w:rsid w:val="005125B5"/>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651"/>
    <w:rsid w:val="00650723"/>
    <w:rsid w:val="00650B89"/>
    <w:rsid w:val="00652F12"/>
    <w:rsid w:val="00654153"/>
    <w:rsid w:val="006563E8"/>
    <w:rsid w:val="0065671E"/>
    <w:rsid w:val="006609C0"/>
    <w:rsid w:val="00660F23"/>
    <w:rsid w:val="00661A6C"/>
    <w:rsid w:val="00662DB3"/>
    <w:rsid w:val="00665207"/>
    <w:rsid w:val="00665EA2"/>
    <w:rsid w:val="0066689B"/>
    <w:rsid w:val="00666D90"/>
    <w:rsid w:val="0066728C"/>
    <w:rsid w:val="00667BA3"/>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49C"/>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07DC5"/>
    <w:rsid w:val="00710178"/>
    <w:rsid w:val="00713427"/>
    <w:rsid w:val="00713F81"/>
    <w:rsid w:val="007152E6"/>
    <w:rsid w:val="00715B7B"/>
    <w:rsid w:val="0071602D"/>
    <w:rsid w:val="007177B2"/>
    <w:rsid w:val="00721F2A"/>
    <w:rsid w:val="007225BE"/>
    <w:rsid w:val="00724AF6"/>
    <w:rsid w:val="00731F8F"/>
    <w:rsid w:val="00732C81"/>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4FD8"/>
    <w:rsid w:val="007B559A"/>
    <w:rsid w:val="007B6AAC"/>
    <w:rsid w:val="007B75E2"/>
    <w:rsid w:val="007B7910"/>
    <w:rsid w:val="007C0036"/>
    <w:rsid w:val="007C2657"/>
    <w:rsid w:val="007C281C"/>
    <w:rsid w:val="007C4613"/>
    <w:rsid w:val="007C5254"/>
    <w:rsid w:val="007C54B5"/>
    <w:rsid w:val="007C625E"/>
    <w:rsid w:val="007C65BE"/>
    <w:rsid w:val="007C6B19"/>
    <w:rsid w:val="007C71F1"/>
    <w:rsid w:val="007D0055"/>
    <w:rsid w:val="007D0591"/>
    <w:rsid w:val="007D1B6F"/>
    <w:rsid w:val="007D2D52"/>
    <w:rsid w:val="007D4440"/>
    <w:rsid w:val="007D48B8"/>
    <w:rsid w:val="007D5A9C"/>
    <w:rsid w:val="007D688E"/>
    <w:rsid w:val="007D7DC5"/>
    <w:rsid w:val="007E0E86"/>
    <w:rsid w:val="007E1A86"/>
    <w:rsid w:val="007E2FC7"/>
    <w:rsid w:val="007E3051"/>
    <w:rsid w:val="007E3390"/>
    <w:rsid w:val="007E3B33"/>
    <w:rsid w:val="007E6051"/>
    <w:rsid w:val="007E6D51"/>
    <w:rsid w:val="007E6DBF"/>
    <w:rsid w:val="007E746F"/>
    <w:rsid w:val="007F1061"/>
    <w:rsid w:val="007F3188"/>
    <w:rsid w:val="007F33EA"/>
    <w:rsid w:val="007F34E7"/>
    <w:rsid w:val="007F3EE5"/>
    <w:rsid w:val="007F60E6"/>
    <w:rsid w:val="007F6D99"/>
    <w:rsid w:val="007F6F47"/>
    <w:rsid w:val="007F7701"/>
    <w:rsid w:val="007F7F54"/>
    <w:rsid w:val="008026D3"/>
    <w:rsid w:val="008064EA"/>
    <w:rsid w:val="00806966"/>
    <w:rsid w:val="00806E6A"/>
    <w:rsid w:val="00811199"/>
    <w:rsid w:val="00811DC7"/>
    <w:rsid w:val="00813F77"/>
    <w:rsid w:val="008214E2"/>
    <w:rsid w:val="008224EC"/>
    <w:rsid w:val="0082310B"/>
    <w:rsid w:val="00824263"/>
    <w:rsid w:val="00825EF8"/>
    <w:rsid w:val="00826D5F"/>
    <w:rsid w:val="00826F29"/>
    <w:rsid w:val="00827576"/>
    <w:rsid w:val="00830AD5"/>
    <w:rsid w:val="00833259"/>
    <w:rsid w:val="0083400D"/>
    <w:rsid w:val="008354EA"/>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BDF"/>
    <w:rsid w:val="008765E5"/>
    <w:rsid w:val="00877818"/>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97CF2"/>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52D7"/>
    <w:rsid w:val="008D6D98"/>
    <w:rsid w:val="008E0BD0"/>
    <w:rsid w:val="008E1B21"/>
    <w:rsid w:val="008E1B85"/>
    <w:rsid w:val="008E22AD"/>
    <w:rsid w:val="008E2EB5"/>
    <w:rsid w:val="008E3952"/>
    <w:rsid w:val="008E3CB5"/>
    <w:rsid w:val="008E4873"/>
    <w:rsid w:val="008E5613"/>
    <w:rsid w:val="008E58D4"/>
    <w:rsid w:val="008E5AB5"/>
    <w:rsid w:val="008F0777"/>
    <w:rsid w:val="008F3E9F"/>
    <w:rsid w:val="008F400D"/>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2E8"/>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B7EAD"/>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2B48"/>
    <w:rsid w:val="009E499C"/>
    <w:rsid w:val="009E4E93"/>
    <w:rsid w:val="009E73B5"/>
    <w:rsid w:val="009F06BB"/>
    <w:rsid w:val="009F3AAE"/>
    <w:rsid w:val="009F503F"/>
    <w:rsid w:val="00A01078"/>
    <w:rsid w:val="00A01C47"/>
    <w:rsid w:val="00A01C84"/>
    <w:rsid w:val="00A03D81"/>
    <w:rsid w:val="00A04215"/>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0914"/>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3A72"/>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9C6"/>
    <w:rsid w:val="00AF6EDE"/>
    <w:rsid w:val="00B00802"/>
    <w:rsid w:val="00B00968"/>
    <w:rsid w:val="00B0099C"/>
    <w:rsid w:val="00B019A9"/>
    <w:rsid w:val="00B01A99"/>
    <w:rsid w:val="00B01DFC"/>
    <w:rsid w:val="00B0276A"/>
    <w:rsid w:val="00B03191"/>
    <w:rsid w:val="00B0336C"/>
    <w:rsid w:val="00B03630"/>
    <w:rsid w:val="00B038DC"/>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774F5"/>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6AD"/>
    <w:rsid w:val="00B96CE8"/>
    <w:rsid w:val="00B97B42"/>
    <w:rsid w:val="00B97FED"/>
    <w:rsid w:val="00BA0320"/>
    <w:rsid w:val="00BA0382"/>
    <w:rsid w:val="00BA1C1D"/>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F09FF"/>
    <w:rsid w:val="00BF29AB"/>
    <w:rsid w:val="00BF3FCC"/>
    <w:rsid w:val="00BF466D"/>
    <w:rsid w:val="00BF770B"/>
    <w:rsid w:val="00BF7EE7"/>
    <w:rsid w:val="00C0274D"/>
    <w:rsid w:val="00C02CF7"/>
    <w:rsid w:val="00C0355E"/>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703"/>
    <w:rsid w:val="00CB7A6B"/>
    <w:rsid w:val="00CC2FFE"/>
    <w:rsid w:val="00CC4468"/>
    <w:rsid w:val="00CD0933"/>
    <w:rsid w:val="00CD1B40"/>
    <w:rsid w:val="00CD3E17"/>
    <w:rsid w:val="00CD52BB"/>
    <w:rsid w:val="00CD70A4"/>
    <w:rsid w:val="00CD75B0"/>
    <w:rsid w:val="00CD7622"/>
    <w:rsid w:val="00CD782A"/>
    <w:rsid w:val="00CE1E75"/>
    <w:rsid w:val="00CE3A3B"/>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0D10"/>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77620"/>
    <w:rsid w:val="00D803CE"/>
    <w:rsid w:val="00D80BF5"/>
    <w:rsid w:val="00D81ADE"/>
    <w:rsid w:val="00D8327A"/>
    <w:rsid w:val="00D848D6"/>
    <w:rsid w:val="00D857A1"/>
    <w:rsid w:val="00D8766A"/>
    <w:rsid w:val="00D909C5"/>
    <w:rsid w:val="00D92012"/>
    <w:rsid w:val="00D9591F"/>
    <w:rsid w:val="00D95A67"/>
    <w:rsid w:val="00D97FDB"/>
    <w:rsid w:val="00DA191A"/>
    <w:rsid w:val="00DA1F58"/>
    <w:rsid w:val="00DA2172"/>
    <w:rsid w:val="00DA289F"/>
    <w:rsid w:val="00DA44C5"/>
    <w:rsid w:val="00DA5425"/>
    <w:rsid w:val="00DA54B6"/>
    <w:rsid w:val="00DA6204"/>
    <w:rsid w:val="00DB1983"/>
    <w:rsid w:val="00DB3AC1"/>
    <w:rsid w:val="00DB71E7"/>
    <w:rsid w:val="00DC4F1D"/>
    <w:rsid w:val="00DC5179"/>
    <w:rsid w:val="00DC52B0"/>
    <w:rsid w:val="00DC6DD4"/>
    <w:rsid w:val="00DC7E16"/>
    <w:rsid w:val="00DD170D"/>
    <w:rsid w:val="00DD3EA9"/>
    <w:rsid w:val="00DE0082"/>
    <w:rsid w:val="00DE1323"/>
    <w:rsid w:val="00DE728B"/>
    <w:rsid w:val="00DE7318"/>
    <w:rsid w:val="00DE734C"/>
    <w:rsid w:val="00DE7F6C"/>
    <w:rsid w:val="00DF135B"/>
    <w:rsid w:val="00DF1EA7"/>
    <w:rsid w:val="00DF1FB5"/>
    <w:rsid w:val="00DF29B4"/>
    <w:rsid w:val="00DF2CC7"/>
    <w:rsid w:val="00DF3D99"/>
    <w:rsid w:val="00DF4129"/>
    <w:rsid w:val="00DF4290"/>
    <w:rsid w:val="00DF5402"/>
    <w:rsid w:val="00E001FD"/>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550B"/>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3A40"/>
    <w:rsid w:val="00E8285A"/>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4DF4"/>
    <w:rsid w:val="00FA70F4"/>
    <w:rsid w:val="00FB0E7E"/>
    <w:rsid w:val="00FB20E4"/>
    <w:rsid w:val="00FB2F11"/>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3597"/>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050F3C9"/>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1FD"/>
    <w:pPr>
      <w:spacing w:before="240"/>
      <w:jc w:val="both"/>
    </w:pPr>
    <w:rPr>
      <w:rFonts w:ascii="Arial" w:hAnsi="Arial" w:cs="Arial"/>
      <w:sz w:val="22"/>
      <w:szCs w:val="22"/>
    </w:rPr>
  </w:style>
  <w:style w:type="paragraph" w:styleId="Heading1">
    <w:name w:val="heading 1"/>
    <w:basedOn w:val="Normal"/>
    <w:next w:val="Normal"/>
    <w:qFormat/>
    <w:rsid w:val="00A72C57"/>
    <w:pPr>
      <w:keepNext/>
      <w:spacing w:line="480" w:lineRule="exact"/>
      <w:outlineLvl w:val="0"/>
    </w:pPr>
    <w:rPr>
      <w:b/>
      <w:bCs/>
      <w:kern w:val="32"/>
      <w:sz w:val="48"/>
      <w:szCs w:val="32"/>
    </w:rPr>
  </w:style>
  <w:style w:type="paragraph" w:styleId="Heading2">
    <w:name w:val="heading 2"/>
    <w:basedOn w:val="ListParagraph"/>
    <w:next w:val="Normal"/>
    <w:qFormat/>
    <w:rsid w:val="00A04215"/>
    <w:pPr>
      <w:numPr>
        <w:numId w:val="11"/>
      </w:numPr>
      <w:suppressAutoHyphens/>
      <w:spacing w:before="200" w:after="200"/>
      <w:outlineLvl w:val="1"/>
    </w:pPr>
    <w:rPr>
      <w:b/>
      <w:sz w:val="24"/>
    </w:rPr>
  </w:style>
  <w:style w:type="paragraph" w:styleId="Heading3">
    <w:name w:val="heading 3"/>
    <w:basedOn w:val="ListParagraph"/>
    <w:next w:val="Normal"/>
    <w:qFormat/>
    <w:rsid w:val="00E001FD"/>
    <w:pPr>
      <w:keepNext/>
      <w:numPr>
        <w:ilvl w:val="1"/>
        <w:numId w:val="5"/>
      </w:numPr>
      <w:tabs>
        <w:tab w:val="left" w:pos="567"/>
      </w:tabs>
      <w:suppressAutoHyphens/>
      <w:spacing w:after="200"/>
      <w:outlineLvl w:val="2"/>
    </w:pPr>
    <w:rPr>
      <w:b/>
    </w:rPr>
  </w:style>
  <w:style w:type="paragraph" w:styleId="Heading4">
    <w:name w:val="heading 4"/>
    <w:basedOn w:val="Normal"/>
    <w:next w:val="Normal"/>
    <w:link w:val="Heading4Char"/>
    <w:qFormat/>
    <w:rsid w:val="00FA4DF4"/>
    <w:pPr>
      <w:keepNext/>
      <w:keepLines/>
      <w:numPr>
        <w:ilvl w:val="2"/>
        <w:numId w:val="5"/>
      </w:numPr>
      <w:suppressAutoHyphens/>
      <w:spacing w:after="120"/>
      <w:outlineLvl w:val="3"/>
    </w:pPr>
    <w:rPr>
      <w:b/>
    </w:rPr>
  </w:style>
  <w:style w:type="paragraph" w:styleId="Heading7">
    <w:name w:val="heading 7"/>
    <w:basedOn w:val="Normal"/>
    <w:next w:val="Normal"/>
    <w:link w:val="Heading7Char"/>
    <w:qFormat/>
    <w:rsid w:val="00D40614"/>
    <w:pPr>
      <w:spacing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FA4DF4"/>
    <w:rPr>
      <w:rFonts w:ascii="Arial" w:hAnsi="Arial" w:cs="Arial"/>
      <w:b/>
      <w:sz w:val="22"/>
      <w:szCs w:val="22"/>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E001FD"/>
    <w:pPr>
      <w:numPr>
        <w:numId w:val="21"/>
      </w:numPr>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character" w:customStyle="1" w:styleId="FooterChar">
    <w:name w:val="Footer Char"/>
    <w:basedOn w:val="DefaultParagraphFont"/>
    <w:link w:val="Footer"/>
    <w:uiPriority w:val="99"/>
    <w:rsid w:val="004F3C85"/>
    <w:rPr>
      <w:rFonts w:ascii="Arial" w:hAnsi="Arial" w:cs="Arial"/>
      <w:sz w:val="22"/>
      <w:szCs w:val="22"/>
    </w:rPr>
  </w:style>
  <w:style w:type="paragraph" w:styleId="Title">
    <w:name w:val="Title"/>
    <w:basedOn w:val="Normal"/>
    <w:next w:val="Normal"/>
    <w:link w:val="TitleChar"/>
    <w:qFormat/>
    <w:rsid w:val="002129B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29B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035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0E86"/>
    <w:rPr>
      <w:sz w:val="16"/>
      <w:szCs w:val="16"/>
    </w:rPr>
  </w:style>
  <w:style w:type="paragraph" w:styleId="CommentText">
    <w:name w:val="annotation text"/>
    <w:basedOn w:val="Normal"/>
    <w:link w:val="CommentTextChar"/>
    <w:semiHidden/>
    <w:unhideWhenUsed/>
    <w:rsid w:val="007E0E86"/>
    <w:rPr>
      <w:sz w:val="20"/>
      <w:szCs w:val="20"/>
    </w:rPr>
  </w:style>
  <w:style w:type="character" w:customStyle="1" w:styleId="CommentTextChar">
    <w:name w:val="Comment Text Char"/>
    <w:basedOn w:val="DefaultParagraphFont"/>
    <w:link w:val="CommentText"/>
    <w:semiHidden/>
    <w:rsid w:val="007E0E86"/>
    <w:rPr>
      <w:rFonts w:ascii="Arial" w:hAnsi="Arial" w:cs="Arial"/>
    </w:rPr>
  </w:style>
  <w:style w:type="paragraph" w:styleId="CommentSubject">
    <w:name w:val="annotation subject"/>
    <w:basedOn w:val="CommentText"/>
    <w:next w:val="CommentText"/>
    <w:link w:val="CommentSubjectChar"/>
    <w:semiHidden/>
    <w:unhideWhenUsed/>
    <w:rsid w:val="007E0E86"/>
    <w:rPr>
      <w:b/>
      <w:bCs/>
    </w:rPr>
  </w:style>
  <w:style w:type="character" w:customStyle="1" w:styleId="CommentSubjectChar">
    <w:name w:val="Comment Subject Char"/>
    <w:basedOn w:val="CommentTextChar"/>
    <w:link w:val="CommentSubject"/>
    <w:semiHidden/>
    <w:rsid w:val="007E0E8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96B3-CD6D-4C9D-B790-693D8226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Keeping of Records at the Forensic Disability Service</vt:lpstr>
    </vt:vector>
  </TitlesOfParts>
  <Manager/>
  <Company>Queensland Government</Company>
  <LinksUpToDate>false</LinksUpToDate>
  <CharactersWithSpaces>7136</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Keeping of Records at the Forensic Disability Service</dc:title>
  <dc:subject>The Keeping of Records at the Forensic Disability Service Policy</dc:subject>
  <dc:creator>Director of Forensic Disability</dc:creator>
  <cp:keywords>policy; client; forensic; disability; keeping; records; service</cp:keywords>
  <cp:lastModifiedBy>Megan Crofts</cp:lastModifiedBy>
  <cp:revision>2</cp:revision>
  <cp:lastPrinted>2022-12-19T01:57:00Z</cp:lastPrinted>
  <dcterms:created xsi:type="dcterms:W3CDTF">2022-12-20T05:47:00Z</dcterms:created>
  <dcterms:modified xsi:type="dcterms:W3CDTF">2022-12-20T05:47:00Z</dcterms:modified>
  <cp:category>The Keeping of Records at the Forensic Disability Service Policy</cp:category>
</cp:coreProperties>
</file>