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6C4FCF2B" w:rsidR="00861193" w:rsidRPr="00EE46E8" w:rsidRDefault="00861193" w:rsidP="00861193">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7837FB">
        <w:rPr>
          <w:b w:val="0"/>
          <w:sz w:val="36"/>
          <w:szCs w:val="36"/>
        </w:rPr>
        <w:t xml:space="preserve">Clients for whom the </w:t>
      </w:r>
      <w:r w:rsidR="00A12D49">
        <w:rPr>
          <w:b w:val="0"/>
          <w:sz w:val="36"/>
          <w:szCs w:val="36"/>
        </w:rPr>
        <w:t xml:space="preserve">offence leading </w:t>
      </w:r>
      <w:r w:rsidR="007837FB">
        <w:rPr>
          <w:b w:val="0"/>
          <w:sz w:val="36"/>
          <w:szCs w:val="36"/>
        </w:rPr>
        <w:t>to the</w:t>
      </w:r>
      <w:r w:rsidR="007837FB">
        <w:rPr>
          <w:b w:val="0"/>
          <w:sz w:val="36"/>
          <w:szCs w:val="36"/>
        </w:rPr>
        <w:br/>
      </w:r>
      <w:r w:rsidR="007837FB">
        <w:rPr>
          <w:b w:val="0"/>
          <w:sz w:val="36"/>
          <w:szCs w:val="36"/>
        </w:rPr>
        <w:tab/>
      </w:r>
      <w:r w:rsidR="007837FB">
        <w:rPr>
          <w:b w:val="0"/>
          <w:sz w:val="36"/>
          <w:szCs w:val="36"/>
        </w:rPr>
        <w:tab/>
        <w:t>Forensic Order is a Prescribed Offence</w:t>
      </w:r>
    </w:p>
    <w:p w14:paraId="3330D436" w14:textId="56379E34" w:rsidR="003D7D20" w:rsidRPr="00E855B8" w:rsidRDefault="003D7D20" w:rsidP="00204104">
      <w:pPr>
        <w:pStyle w:val="Heading2"/>
      </w:pPr>
      <w:r w:rsidRPr="00E855B8">
        <w:t>Purpose</w:t>
      </w:r>
    </w:p>
    <w:p w14:paraId="45088BCE" w14:textId="77777777" w:rsidR="00C8313A" w:rsidRDefault="00C8313A" w:rsidP="00C8313A">
      <w:pPr>
        <w:suppressAutoHyphens/>
        <w:jc w:val="both"/>
        <w:rPr>
          <w:rFonts w:cs="Arial"/>
          <w:szCs w:val="22"/>
        </w:rPr>
      </w:pPr>
      <w:r>
        <w:rPr>
          <w:rFonts w:cs="Arial"/>
          <w:szCs w:val="22"/>
        </w:rPr>
        <w:t>This</w:t>
      </w:r>
      <w:r w:rsidRPr="00F66558">
        <w:rPr>
          <w:rFonts w:cs="Arial"/>
          <w:szCs w:val="22"/>
        </w:rPr>
        <w:t xml:space="preserve"> procedure </w:t>
      </w:r>
      <w:r>
        <w:rPr>
          <w:rFonts w:cs="Arial"/>
          <w:szCs w:val="22"/>
        </w:rPr>
        <w:t xml:space="preserve">is issued by the Director of Forensic Disability in accordance with section 91 of the </w:t>
      </w:r>
      <w:r>
        <w:rPr>
          <w:rFonts w:cs="Arial"/>
          <w:i/>
          <w:szCs w:val="22"/>
        </w:rPr>
        <w:t xml:space="preserve">Forensic Disability Act 2011 </w:t>
      </w:r>
      <w:r>
        <w:rPr>
          <w:rFonts w:cs="Arial"/>
          <w:szCs w:val="22"/>
        </w:rPr>
        <w:t>(the Act).</w:t>
      </w:r>
    </w:p>
    <w:p w14:paraId="2E22BFBB" w14:textId="77777777" w:rsidR="00C8313A" w:rsidRDefault="00C8313A" w:rsidP="00C8313A">
      <w:pPr>
        <w:suppressAutoHyphens/>
        <w:jc w:val="both"/>
        <w:rPr>
          <w:rFonts w:cs="Arial"/>
          <w:szCs w:val="22"/>
        </w:rPr>
      </w:pPr>
      <w:r>
        <w:rPr>
          <w:rFonts w:cs="Arial"/>
          <w:szCs w:val="22"/>
        </w:rPr>
        <w:t xml:space="preserve">This procedure is to be read in conjunction with the </w:t>
      </w:r>
      <w:r>
        <w:rPr>
          <w:rFonts w:cs="Arial"/>
          <w:i/>
          <w:szCs w:val="22"/>
        </w:rPr>
        <w:t xml:space="preserve">Director of Forensic Disability Policy – </w:t>
      </w:r>
      <w:r w:rsidRPr="002218BD">
        <w:rPr>
          <w:i/>
          <w:szCs w:val="22"/>
        </w:rPr>
        <w:t>Clients for whom the offence leading to the Forensic Order is a prescribed offence</w:t>
      </w:r>
      <w:r>
        <w:rPr>
          <w:rFonts w:cs="Arial"/>
          <w:szCs w:val="22"/>
        </w:rPr>
        <w:t>.</w:t>
      </w:r>
    </w:p>
    <w:p w14:paraId="66832FFC" w14:textId="77777777" w:rsidR="00C8313A" w:rsidRPr="00D92415" w:rsidRDefault="00C8313A" w:rsidP="00C8313A">
      <w:pPr>
        <w:suppressAutoHyphens/>
        <w:jc w:val="both"/>
        <w:rPr>
          <w:rFonts w:cs="Arial"/>
          <w:szCs w:val="22"/>
        </w:rPr>
      </w:pPr>
      <w:r>
        <w:rPr>
          <w:rFonts w:cs="Arial"/>
          <w:szCs w:val="22"/>
        </w:rPr>
        <w:t xml:space="preserve">For the purpose of this procedure, a ‘client who has committed a prescribed offence’ </w:t>
      </w:r>
      <w:r w:rsidRPr="009F7600">
        <w:rPr>
          <w:rFonts w:eastAsia="Arial" w:cs="Arial"/>
          <w:spacing w:val="2"/>
          <w:szCs w:val="22"/>
          <w:lang w:val="en-US" w:eastAsia="en-US"/>
        </w:rPr>
        <w:t xml:space="preserve">is a forensic disability client for </w:t>
      </w:r>
      <w:r w:rsidRPr="009F7600">
        <w:rPr>
          <w:rFonts w:eastAsia="Arial" w:cs="Arial"/>
          <w:szCs w:val="22"/>
          <w:lang w:val="en-US" w:eastAsia="en-US"/>
        </w:rPr>
        <w:t xml:space="preserve">whom the offence leading to the making of the applicable forensic order is a </w:t>
      </w:r>
      <w:r>
        <w:rPr>
          <w:rFonts w:eastAsia="Arial" w:cs="Arial"/>
          <w:szCs w:val="22"/>
          <w:lang w:val="en-US" w:eastAsia="en-US"/>
        </w:rPr>
        <w:t>“</w:t>
      </w:r>
      <w:r w:rsidRPr="009F7600">
        <w:rPr>
          <w:rFonts w:eastAsia="Arial" w:cs="Arial"/>
          <w:szCs w:val="22"/>
          <w:lang w:val="en-US" w:eastAsia="en-US"/>
        </w:rPr>
        <w:t>prescribed offence</w:t>
      </w:r>
      <w:r>
        <w:rPr>
          <w:rFonts w:eastAsia="Arial" w:cs="Arial"/>
          <w:szCs w:val="22"/>
          <w:lang w:val="en-US" w:eastAsia="en-US"/>
        </w:rPr>
        <w:t xml:space="preserve">” as defined by the </w:t>
      </w:r>
      <w:r>
        <w:rPr>
          <w:rFonts w:eastAsia="Arial" w:cs="Arial"/>
          <w:i/>
          <w:szCs w:val="22"/>
          <w:lang w:val="en-US" w:eastAsia="en-US"/>
        </w:rPr>
        <w:t>Mental Health Act 2016</w:t>
      </w:r>
      <w:r>
        <w:rPr>
          <w:rFonts w:eastAsia="Arial" w:cs="Arial"/>
          <w:szCs w:val="22"/>
          <w:lang w:val="en-US" w:eastAsia="en-US"/>
        </w:rPr>
        <w:t xml:space="preserve">. </w:t>
      </w:r>
      <w:r>
        <w:rPr>
          <w:rFonts w:cs="Arial"/>
          <w:szCs w:val="22"/>
        </w:rPr>
        <w:t xml:space="preserve"> </w:t>
      </w:r>
    </w:p>
    <w:p w14:paraId="6C3CA10F" w14:textId="77777777" w:rsidR="00C8313A" w:rsidRDefault="00C8313A" w:rsidP="00C8313A">
      <w:pPr>
        <w:suppressAutoHyphens/>
        <w:jc w:val="both"/>
        <w:rPr>
          <w:rFonts w:cs="Arial"/>
          <w:szCs w:val="22"/>
        </w:rPr>
      </w:pPr>
      <w:r>
        <w:rPr>
          <w:rFonts w:cs="Arial"/>
          <w:szCs w:val="22"/>
        </w:rPr>
        <w:t>This procedure:</w:t>
      </w:r>
    </w:p>
    <w:p w14:paraId="0E873B2E" w14:textId="77777777" w:rsidR="00C8313A" w:rsidRPr="00D445EB" w:rsidRDefault="00C8313A" w:rsidP="00C8313A">
      <w:pPr>
        <w:pStyle w:val="ListParagraph"/>
        <w:numPr>
          <w:ilvl w:val="0"/>
          <w:numId w:val="31"/>
        </w:numPr>
        <w:rPr>
          <w:rFonts w:cs="Arial"/>
          <w:szCs w:val="22"/>
        </w:rPr>
      </w:pPr>
      <w:r>
        <w:t>outlines the</w:t>
      </w:r>
      <w:r w:rsidRPr="00E557CD">
        <w:t xml:space="preserve"> additional tasks required to be completed when a </w:t>
      </w:r>
      <w:r w:rsidRPr="003845F0">
        <w:rPr>
          <w:rFonts w:cs="Arial"/>
          <w:szCs w:val="22"/>
        </w:rPr>
        <w:t>c</w:t>
      </w:r>
      <w:r>
        <w:rPr>
          <w:rFonts w:cs="Arial"/>
          <w:szCs w:val="22"/>
        </w:rPr>
        <w:t>lient</w:t>
      </w:r>
      <w:r w:rsidRPr="003845F0">
        <w:rPr>
          <w:rFonts w:cs="Arial"/>
          <w:szCs w:val="22"/>
        </w:rPr>
        <w:t xml:space="preserve"> </w:t>
      </w:r>
      <w:r>
        <w:rPr>
          <w:rFonts w:cs="Arial"/>
          <w:szCs w:val="22"/>
        </w:rPr>
        <w:t xml:space="preserve">who has committed a prescribed offence </w:t>
      </w:r>
      <w:r w:rsidRPr="00E557CD">
        <w:t>enters the detention and care of the FDS</w:t>
      </w:r>
      <w:r>
        <w:t>; and</w:t>
      </w:r>
    </w:p>
    <w:p w14:paraId="74F60A2E" w14:textId="77777777" w:rsidR="00C8313A" w:rsidRDefault="00C8313A" w:rsidP="00C8313A">
      <w:pPr>
        <w:pStyle w:val="ListParagraph"/>
        <w:numPr>
          <w:ilvl w:val="0"/>
          <w:numId w:val="31"/>
        </w:numPr>
        <w:rPr>
          <w:rFonts w:cs="Arial"/>
          <w:szCs w:val="22"/>
        </w:rPr>
      </w:pPr>
      <w:r>
        <w:rPr>
          <w:rFonts w:cs="Arial"/>
          <w:szCs w:val="22"/>
        </w:rPr>
        <w:t xml:space="preserve">provides guidance to </w:t>
      </w:r>
      <w:r w:rsidRPr="00F66558">
        <w:rPr>
          <w:rFonts w:cs="Arial"/>
          <w:szCs w:val="22"/>
        </w:rPr>
        <w:t>staff of the Forensic Disability Service (FDS)</w:t>
      </w:r>
      <w:r>
        <w:rPr>
          <w:rFonts w:cs="Arial"/>
          <w:szCs w:val="22"/>
        </w:rPr>
        <w:t xml:space="preserve"> in relation to the detention, care and support </w:t>
      </w:r>
      <w:r w:rsidRPr="00D445EB">
        <w:rPr>
          <w:rFonts w:cs="Arial"/>
          <w:szCs w:val="22"/>
        </w:rPr>
        <w:t xml:space="preserve">of </w:t>
      </w:r>
      <w:r>
        <w:rPr>
          <w:rFonts w:cs="Arial"/>
          <w:szCs w:val="22"/>
        </w:rPr>
        <w:t xml:space="preserve">a </w:t>
      </w:r>
      <w:r w:rsidRPr="002218BD">
        <w:rPr>
          <w:rFonts w:cs="Arial"/>
          <w:szCs w:val="22"/>
        </w:rPr>
        <w:t>c</w:t>
      </w:r>
      <w:r w:rsidRPr="00D445EB">
        <w:rPr>
          <w:rFonts w:cs="Arial"/>
          <w:szCs w:val="22"/>
        </w:rPr>
        <w:t>lient</w:t>
      </w:r>
      <w:r w:rsidRPr="002218BD">
        <w:rPr>
          <w:rFonts w:cs="Arial"/>
          <w:szCs w:val="22"/>
        </w:rPr>
        <w:t xml:space="preserve"> </w:t>
      </w:r>
      <w:r>
        <w:rPr>
          <w:rFonts w:cs="Arial"/>
          <w:szCs w:val="22"/>
        </w:rPr>
        <w:t>who has committed a prescribed offence.</w:t>
      </w:r>
    </w:p>
    <w:p w14:paraId="1DF188F0" w14:textId="77777777" w:rsidR="00C8313A" w:rsidRDefault="00C8313A" w:rsidP="00C8313A">
      <w:pPr>
        <w:pStyle w:val="ListParagraph"/>
      </w:pPr>
    </w:p>
    <w:p w14:paraId="561F2D56" w14:textId="77777777" w:rsidR="00C8313A" w:rsidRPr="00C8313A" w:rsidRDefault="00C8313A" w:rsidP="00C8313A">
      <w:pPr>
        <w:suppressAutoHyphens/>
        <w:spacing w:after="200"/>
        <w:jc w:val="both"/>
        <w:rPr>
          <w:rFonts w:cs="Arial"/>
          <w:b/>
          <w:sz w:val="24"/>
        </w:rPr>
      </w:pPr>
      <w:r w:rsidRPr="00C8313A">
        <w:rPr>
          <w:rFonts w:cs="Arial"/>
          <w:b/>
          <w:sz w:val="24"/>
        </w:rPr>
        <w:t>Procedure</w:t>
      </w:r>
    </w:p>
    <w:p w14:paraId="051B2765" w14:textId="5C4739A4" w:rsidR="00C8313A" w:rsidRPr="006E17DE" w:rsidRDefault="00C8313A" w:rsidP="00C8313A">
      <w:pPr>
        <w:pStyle w:val="Heading3"/>
        <w:numPr>
          <w:ilvl w:val="0"/>
          <w:numId w:val="33"/>
        </w:numPr>
      </w:pPr>
      <w:r w:rsidRPr="00E557CD">
        <w:t>Admission</w:t>
      </w:r>
    </w:p>
    <w:p w14:paraId="7DC2F76C" w14:textId="4291CDA2" w:rsidR="00C8313A" w:rsidRPr="00E557CD" w:rsidRDefault="00C8313A" w:rsidP="00C8313A">
      <w:pPr>
        <w:suppressAutoHyphens/>
        <w:jc w:val="both"/>
        <w:rPr>
          <w:rFonts w:cs="Arial"/>
          <w:szCs w:val="22"/>
        </w:rPr>
      </w:pPr>
      <w:r>
        <w:rPr>
          <w:rFonts w:cs="Arial"/>
          <w:szCs w:val="22"/>
        </w:rPr>
        <w:t xml:space="preserve">For a client who has committed a prescribed offence, the </w:t>
      </w:r>
      <w:r w:rsidRPr="00E557CD">
        <w:rPr>
          <w:rFonts w:cs="Arial"/>
          <w:szCs w:val="22"/>
        </w:rPr>
        <w:t xml:space="preserve">client’s file and </w:t>
      </w:r>
      <w:r>
        <w:rPr>
          <w:rFonts w:cs="Arial"/>
          <w:szCs w:val="22"/>
        </w:rPr>
        <w:t xml:space="preserve">the </w:t>
      </w:r>
      <w:r w:rsidRPr="00E557CD">
        <w:rPr>
          <w:rFonts w:cs="Arial"/>
          <w:szCs w:val="22"/>
        </w:rPr>
        <w:t>Forensic Disability Act Information System (FDAIS)</w:t>
      </w:r>
      <w:r>
        <w:rPr>
          <w:rFonts w:cs="Arial"/>
          <w:szCs w:val="22"/>
        </w:rPr>
        <w:t xml:space="preserve"> must clearly identify that the client has committed a prescribed offence. Where a non-revocation period has been ordered by the Mental Health Court, this must also be noted in the client’s file.</w:t>
      </w:r>
      <w:r w:rsidRPr="00E557CD">
        <w:rPr>
          <w:rFonts w:cs="Arial"/>
          <w:szCs w:val="22"/>
        </w:rPr>
        <w:t xml:space="preserve"> </w:t>
      </w:r>
    </w:p>
    <w:p w14:paraId="422070D9" w14:textId="77777777" w:rsidR="00C8313A" w:rsidRPr="002218BD" w:rsidRDefault="00C8313A" w:rsidP="005D7BCE">
      <w:pPr>
        <w:pStyle w:val="Heading3"/>
        <w:numPr>
          <w:ilvl w:val="0"/>
          <w:numId w:val="33"/>
        </w:numPr>
      </w:pPr>
      <w:r>
        <w:t xml:space="preserve">Oversight and management </w:t>
      </w:r>
    </w:p>
    <w:p w14:paraId="71961F14" w14:textId="77777777" w:rsidR="00C8313A" w:rsidRPr="006E17DE" w:rsidRDefault="00C8313A" w:rsidP="00C8313A">
      <w:pPr>
        <w:tabs>
          <w:tab w:val="num" w:pos="2154"/>
        </w:tabs>
        <w:suppressAutoHyphens/>
        <w:spacing w:after="120"/>
        <w:rPr>
          <w:rFonts w:cs="Arial"/>
          <w:b/>
        </w:rPr>
      </w:pPr>
      <w:r>
        <w:rPr>
          <w:rFonts w:cs="Arial"/>
          <w:szCs w:val="22"/>
        </w:rPr>
        <w:t>For a client who has committed a prescribed offence:</w:t>
      </w:r>
    </w:p>
    <w:p w14:paraId="273331D6" w14:textId="6E8A9EA2" w:rsidR="00C8313A" w:rsidRDefault="00C8313A" w:rsidP="005D7BCE">
      <w:pPr>
        <w:pStyle w:val="ListParagraph"/>
        <w:numPr>
          <w:ilvl w:val="0"/>
          <w:numId w:val="35"/>
        </w:numPr>
      </w:pPr>
      <w:r w:rsidRPr="000D3D72">
        <w:t xml:space="preserve">the client must be under the direct care and support of </w:t>
      </w:r>
      <w:r w:rsidR="00A12D49">
        <w:t>the</w:t>
      </w:r>
      <w:r w:rsidR="00A12D49" w:rsidRPr="000D3D72">
        <w:t xml:space="preserve"> </w:t>
      </w:r>
      <w:r w:rsidRPr="002218BD">
        <w:t xml:space="preserve">Senior Practitioner; </w:t>
      </w:r>
    </w:p>
    <w:p w14:paraId="720BA40C" w14:textId="56F4A470" w:rsidR="00C8313A" w:rsidRDefault="00C8313A" w:rsidP="005D7BCE">
      <w:pPr>
        <w:pStyle w:val="ListParagraph"/>
        <w:numPr>
          <w:ilvl w:val="0"/>
          <w:numId w:val="35"/>
        </w:numPr>
      </w:pPr>
      <w:r>
        <w:t xml:space="preserve">the client must have a risk management plan developed by </w:t>
      </w:r>
      <w:r w:rsidR="00A12D49">
        <w:t xml:space="preserve">the </w:t>
      </w:r>
      <w:r>
        <w:t>Senior Practitioner which is included as part of their IDP and reviewed regularly; and</w:t>
      </w:r>
    </w:p>
    <w:p w14:paraId="43A1613C" w14:textId="025532A2" w:rsidR="00C8313A" w:rsidRDefault="00C8313A" w:rsidP="005D7BCE">
      <w:pPr>
        <w:pStyle w:val="ListParagraph"/>
        <w:numPr>
          <w:ilvl w:val="0"/>
          <w:numId w:val="35"/>
        </w:numPr>
      </w:pPr>
      <w:r>
        <w:t>t</w:t>
      </w:r>
      <w:r w:rsidRPr="00E557CD">
        <w:t>he</w:t>
      </w:r>
      <w:r>
        <w:t xml:space="preserve"> Administrator</w:t>
      </w:r>
      <w:r w:rsidRPr="00E557CD">
        <w:t xml:space="preserve"> </w:t>
      </w:r>
      <w:r>
        <w:t xml:space="preserve">must </w:t>
      </w:r>
      <w:r w:rsidRPr="00E557CD">
        <w:t xml:space="preserve">inform the Director of Forensic Disability of any significant changes in presentation or management </w:t>
      </w:r>
      <w:r>
        <w:t xml:space="preserve">of the client that </w:t>
      </w:r>
      <w:r w:rsidR="00A12D49">
        <w:t xml:space="preserve">relate </w:t>
      </w:r>
      <w:r>
        <w:t xml:space="preserve">directly to the issue of risk. </w:t>
      </w:r>
    </w:p>
    <w:p w14:paraId="2059924C" w14:textId="77777777" w:rsidR="005D7BCE" w:rsidRPr="005D7BCE" w:rsidRDefault="005D7BCE" w:rsidP="005D7BCE">
      <w:pPr>
        <w:pStyle w:val="ListParagraph"/>
      </w:pPr>
    </w:p>
    <w:p w14:paraId="4FBD66F4" w14:textId="77777777" w:rsidR="00C8313A" w:rsidRPr="006E17DE" w:rsidRDefault="00C8313A" w:rsidP="005D7BCE">
      <w:pPr>
        <w:pStyle w:val="Heading3"/>
        <w:numPr>
          <w:ilvl w:val="0"/>
          <w:numId w:val="33"/>
        </w:numPr>
      </w:pPr>
      <w:r>
        <w:lastRenderedPageBreak/>
        <w:t>Individual development</w:t>
      </w:r>
      <w:r w:rsidRPr="006E17DE">
        <w:t xml:space="preserve"> planning </w:t>
      </w:r>
    </w:p>
    <w:p w14:paraId="3023703D" w14:textId="58AAA41B" w:rsidR="00C8313A" w:rsidRDefault="00C8313A" w:rsidP="00C8313A">
      <w:pPr>
        <w:suppressAutoHyphens/>
        <w:jc w:val="both"/>
        <w:rPr>
          <w:rFonts w:cs="Arial"/>
          <w:szCs w:val="22"/>
        </w:rPr>
      </w:pPr>
      <w:r>
        <w:rPr>
          <w:rFonts w:cs="Arial"/>
          <w:szCs w:val="22"/>
        </w:rPr>
        <w:t xml:space="preserve">The Individual Development Plan (IDP) sets out the plan for promoting each client’s rehabilitation, habilitation and quality of life, reducing behaviours that place the client and others at risk and, where appropriate, supports the client’s reintegration into the community. In developing and reviewing the IDP, the Senior Practitioner must </w:t>
      </w:r>
      <w:proofErr w:type="gramStart"/>
      <w:r>
        <w:rPr>
          <w:rFonts w:cs="Arial"/>
          <w:szCs w:val="22"/>
        </w:rPr>
        <w:t>take into account</w:t>
      </w:r>
      <w:proofErr w:type="gramEnd"/>
      <w:r>
        <w:rPr>
          <w:rFonts w:cs="Arial"/>
          <w:szCs w:val="22"/>
        </w:rPr>
        <w:t xml:space="preserve"> the serious nature of the “prescribed offence.” This is important in informing the rehabilitative programs the client requires, the risk management plan and the approach to supporting the client’s reintegration into the community.  </w:t>
      </w:r>
    </w:p>
    <w:p w14:paraId="3A24747A" w14:textId="7F69858E" w:rsidR="00C8313A" w:rsidRDefault="00C8313A" w:rsidP="00C8313A">
      <w:pPr>
        <w:suppressAutoHyphens/>
        <w:jc w:val="both"/>
        <w:rPr>
          <w:rFonts w:cs="Arial"/>
          <w:szCs w:val="22"/>
        </w:rPr>
      </w:pPr>
      <w:r>
        <w:rPr>
          <w:rFonts w:cs="Arial"/>
          <w:szCs w:val="22"/>
        </w:rPr>
        <w:t>For a client who has committed a prescribed offence, t</w:t>
      </w:r>
      <w:r w:rsidRPr="00E557CD">
        <w:rPr>
          <w:rFonts w:cs="Arial"/>
          <w:szCs w:val="22"/>
        </w:rPr>
        <w:t xml:space="preserve">he </w:t>
      </w:r>
      <w:r>
        <w:rPr>
          <w:rFonts w:cs="Arial"/>
          <w:szCs w:val="22"/>
        </w:rPr>
        <w:t>Administrator</w:t>
      </w:r>
      <w:r w:rsidRPr="00847BFB">
        <w:rPr>
          <w:rFonts w:cs="Arial"/>
          <w:szCs w:val="22"/>
        </w:rPr>
        <w:t xml:space="preserve"> </w:t>
      </w:r>
      <w:r w:rsidR="00A12D49">
        <w:rPr>
          <w:rFonts w:cs="Arial"/>
          <w:szCs w:val="22"/>
        </w:rPr>
        <w:t xml:space="preserve">must </w:t>
      </w:r>
      <w:r>
        <w:rPr>
          <w:rFonts w:cs="Arial"/>
          <w:szCs w:val="22"/>
        </w:rPr>
        <w:t>ensure</w:t>
      </w:r>
      <w:r w:rsidRPr="00E557CD">
        <w:rPr>
          <w:rFonts w:cs="Arial"/>
          <w:szCs w:val="22"/>
        </w:rPr>
        <w:t xml:space="preserve"> the Director of Forensic Disability </w:t>
      </w:r>
      <w:r>
        <w:rPr>
          <w:rFonts w:cs="Arial"/>
          <w:szCs w:val="22"/>
        </w:rPr>
        <w:t xml:space="preserve">is made aware </w:t>
      </w:r>
      <w:r w:rsidRPr="00E557CD">
        <w:rPr>
          <w:rFonts w:cs="Arial"/>
          <w:szCs w:val="22"/>
        </w:rPr>
        <w:t xml:space="preserve">of any </w:t>
      </w:r>
      <w:r w:rsidRPr="00847BFB">
        <w:rPr>
          <w:rFonts w:cs="Arial"/>
          <w:szCs w:val="22"/>
        </w:rPr>
        <w:t xml:space="preserve">significant </w:t>
      </w:r>
      <w:r>
        <w:rPr>
          <w:rFonts w:cs="Arial"/>
          <w:szCs w:val="22"/>
        </w:rPr>
        <w:t xml:space="preserve">events involving the client. The DFD must also be advised of any </w:t>
      </w:r>
      <w:r w:rsidRPr="0048494A">
        <w:rPr>
          <w:rFonts w:cs="Arial"/>
          <w:szCs w:val="22"/>
        </w:rPr>
        <w:t xml:space="preserve">changes made to the IDP as a consequence of </w:t>
      </w:r>
      <w:r>
        <w:rPr>
          <w:rFonts w:cs="Arial"/>
          <w:szCs w:val="22"/>
        </w:rPr>
        <w:t>a</w:t>
      </w:r>
      <w:r w:rsidR="00A12D49">
        <w:rPr>
          <w:rFonts w:cs="Arial"/>
          <w:szCs w:val="22"/>
        </w:rPr>
        <w:t xml:space="preserve"> significant</w:t>
      </w:r>
      <w:r>
        <w:rPr>
          <w:rFonts w:cs="Arial"/>
          <w:szCs w:val="22"/>
        </w:rPr>
        <w:t xml:space="preserve"> event. Significant events may include, but are not limited to: </w:t>
      </w:r>
      <w:r w:rsidRPr="00E557CD">
        <w:rPr>
          <w:rFonts w:cs="Arial"/>
          <w:szCs w:val="22"/>
        </w:rPr>
        <w:t xml:space="preserve"> </w:t>
      </w:r>
    </w:p>
    <w:p w14:paraId="2E869D87" w14:textId="4AF37E10" w:rsidR="00C8313A" w:rsidRDefault="00C8313A" w:rsidP="005D7BCE">
      <w:pPr>
        <w:pStyle w:val="ListParagraph"/>
        <w:numPr>
          <w:ilvl w:val="0"/>
          <w:numId w:val="36"/>
        </w:numPr>
      </w:pPr>
      <w:r>
        <w:t>the client re</w:t>
      </w:r>
      <w:r w:rsidR="00A12D49">
        <w:t>-</w:t>
      </w:r>
      <w:r>
        <w:t>offends;</w:t>
      </w:r>
    </w:p>
    <w:p w14:paraId="7D56132A" w14:textId="77777777" w:rsidR="00C8313A" w:rsidRDefault="00C8313A" w:rsidP="005D7BCE">
      <w:pPr>
        <w:pStyle w:val="ListParagraph"/>
        <w:numPr>
          <w:ilvl w:val="0"/>
          <w:numId w:val="36"/>
        </w:numPr>
      </w:pPr>
      <w:r>
        <w:t>the client engages in behaviour that is indicative of an increase in the client’s risk to others;</w:t>
      </w:r>
    </w:p>
    <w:p w14:paraId="6A2A2B44" w14:textId="77777777" w:rsidR="00C8313A" w:rsidRDefault="00C8313A" w:rsidP="005D7BCE">
      <w:pPr>
        <w:pStyle w:val="ListParagraph"/>
        <w:numPr>
          <w:ilvl w:val="0"/>
          <w:numId w:val="36"/>
        </w:numPr>
      </w:pPr>
      <w:r>
        <w:t>the client is non-compliant with the IDP, such as not undertaking their responsibilities to engage in specific therapy, programs or LCT;</w:t>
      </w:r>
    </w:p>
    <w:p w14:paraId="6ECAB707" w14:textId="77777777" w:rsidR="00C8313A" w:rsidRPr="00847BFB" w:rsidRDefault="00C8313A" w:rsidP="005D7BCE">
      <w:pPr>
        <w:pStyle w:val="ListParagraph"/>
        <w:numPr>
          <w:ilvl w:val="0"/>
          <w:numId w:val="36"/>
        </w:numPr>
      </w:pPr>
      <w:r>
        <w:t xml:space="preserve">the client requires an </w:t>
      </w:r>
      <w:r w:rsidRPr="00847BFB">
        <w:t xml:space="preserve">admission </w:t>
      </w:r>
      <w:r w:rsidRPr="0048494A">
        <w:t>to an inpatient facility</w:t>
      </w:r>
      <w:r>
        <w:t>;</w:t>
      </w:r>
      <w:r w:rsidRPr="0048494A">
        <w:t xml:space="preserve"> </w:t>
      </w:r>
    </w:p>
    <w:p w14:paraId="71DC73E3" w14:textId="77777777" w:rsidR="00C8313A" w:rsidRPr="002218BD" w:rsidRDefault="00C8313A" w:rsidP="005D7BCE">
      <w:pPr>
        <w:pStyle w:val="ListParagraph"/>
        <w:numPr>
          <w:ilvl w:val="0"/>
          <w:numId w:val="36"/>
        </w:numPr>
      </w:pPr>
      <w:r>
        <w:t xml:space="preserve">the </w:t>
      </w:r>
      <w:r w:rsidRPr="00D445EB">
        <w:t>client fail</w:t>
      </w:r>
      <w:r>
        <w:t>s</w:t>
      </w:r>
      <w:r w:rsidRPr="005A707F">
        <w:t xml:space="preserve"> to comply with </w:t>
      </w:r>
      <w:r>
        <w:t>conditions attached to their Forensic Order;</w:t>
      </w:r>
    </w:p>
    <w:p w14:paraId="3156BE7B" w14:textId="77777777" w:rsidR="00C8313A" w:rsidRDefault="00C8313A" w:rsidP="005D7BCE">
      <w:pPr>
        <w:pStyle w:val="ListParagraph"/>
        <w:numPr>
          <w:ilvl w:val="0"/>
          <w:numId w:val="36"/>
        </w:numPr>
      </w:pPr>
      <w:r>
        <w:t>any violent incidents;</w:t>
      </w:r>
    </w:p>
    <w:p w14:paraId="67D647A1" w14:textId="77777777" w:rsidR="00C8313A" w:rsidRDefault="00C8313A" w:rsidP="005D7BCE">
      <w:pPr>
        <w:pStyle w:val="ListParagraph"/>
        <w:numPr>
          <w:ilvl w:val="0"/>
          <w:numId w:val="36"/>
        </w:numPr>
      </w:pPr>
      <w:r>
        <w:t>the client is/was absent without permission; and</w:t>
      </w:r>
    </w:p>
    <w:p w14:paraId="2286C840" w14:textId="7040C609" w:rsidR="00C8313A" w:rsidRDefault="00C8313A" w:rsidP="005D7BCE">
      <w:pPr>
        <w:pStyle w:val="ListParagraph"/>
        <w:numPr>
          <w:ilvl w:val="0"/>
          <w:numId w:val="36"/>
        </w:numPr>
      </w:pPr>
      <w:r>
        <w:t xml:space="preserve">use of </w:t>
      </w:r>
      <w:r w:rsidR="00637B14">
        <w:t xml:space="preserve">any regulated behaviour control under </w:t>
      </w:r>
      <w:r w:rsidR="00A12D49">
        <w:t>Chapter 6 of the Act</w:t>
      </w:r>
      <w:r w:rsidRPr="00116798">
        <w:t>.</w:t>
      </w:r>
    </w:p>
    <w:p w14:paraId="27BD1425" w14:textId="77777777" w:rsidR="00C8313A" w:rsidRPr="00116798" w:rsidRDefault="00C8313A" w:rsidP="005D7BCE">
      <w:pPr>
        <w:pStyle w:val="ListParagraph"/>
      </w:pPr>
    </w:p>
    <w:p w14:paraId="1BBAA191" w14:textId="77777777" w:rsidR="00C8313A" w:rsidRPr="00847BFB" w:rsidRDefault="00C8313A" w:rsidP="005D7BCE">
      <w:pPr>
        <w:pStyle w:val="Heading3"/>
        <w:numPr>
          <w:ilvl w:val="0"/>
          <w:numId w:val="33"/>
        </w:numPr>
      </w:pPr>
      <w:r w:rsidRPr="00752EAB">
        <w:t xml:space="preserve">Review </w:t>
      </w:r>
    </w:p>
    <w:p w14:paraId="61D4EE26" w14:textId="246563B7" w:rsidR="00C8313A" w:rsidRPr="00D445EB" w:rsidRDefault="00C8313A" w:rsidP="00C8313A">
      <w:pPr>
        <w:suppressAutoHyphens/>
        <w:jc w:val="both"/>
        <w:rPr>
          <w:rFonts w:cs="Arial"/>
          <w:szCs w:val="22"/>
        </w:rPr>
      </w:pPr>
      <w:r>
        <w:rPr>
          <w:rFonts w:cs="Arial"/>
          <w:szCs w:val="22"/>
        </w:rPr>
        <w:t xml:space="preserve">For a client who has committed a prescribed offence, the Senior Practitioner must review the client on a regular </w:t>
      </w:r>
      <w:r w:rsidRPr="00A63D42">
        <w:rPr>
          <w:rFonts w:cs="Arial"/>
          <w:szCs w:val="22"/>
        </w:rPr>
        <w:t>basis to identify the presence of any risk factors and,</w:t>
      </w:r>
      <w:r w:rsidRPr="00727D0C">
        <w:rPr>
          <w:rFonts w:cs="Arial"/>
          <w:szCs w:val="22"/>
        </w:rPr>
        <w:t xml:space="preserve"> where required, </w:t>
      </w:r>
      <w:r>
        <w:rPr>
          <w:rFonts w:cs="Arial"/>
          <w:szCs w:val="22"/>
        </w:rPr>
        <w:t xml:space="preserve">amend existing </w:t>
      </w:r>
      <w:r w:rsidRPr="00D445EB">
        <w:rPr>
          <w:rFonts w:cs="Arial"/>
          <w:szCs w:val="22"/>
        </w:rPr>
        <w:t xml:space="preserve">strategies to </w:t>
      </w:r>
      <w:r w:rsidRPr="005A707F">
        <w:rPr>
          <w:rFonts w:cs="Arial"/>
          <w:szCs w:val="22"/>
        </w:rPr>
        <w:t>mitigate risk.</w:t>
      </w:r>
      <w:r w:rsidRPr="00330CA9">
        <w:rPr>
          <w:rFonts w:cs="Arial"/>
          <w:szCs w:val="22"/>
        </w:rPr>
        <w:t xml:space="preserve"> </w:t>
      </w:r>
      <w:r>
        <w:rPr>
          <w:rFonts w:cs="Arial"/>
          <w:szCs w:val="22"/>
        </w:rPr>
        <w:t>A</w:t>
      </w:r>
      <w:r w:rsidRPr="00330CA9">
        <w:rPr>
          <w:rFonts w:cs="Arial"/>
          <w:szCs w:val="22"/>
        </w:rPr>
        <w:t xml:space="preserve">s part of the IDP review process, the </w:t>
      </w:r>
      <w:r>
        <w:rPr>
          <w:rFonts w:cs="Arial"/>
          <w:szCs w:val="22"/>
        </w:rPr>
        <w:t>Senior Practitioner</w:t>
      </w:r>
      <w:r w:rsidRPr="00330CA9">
        <w:rPr>
          <w:rFonts w:cs="Arial"/>
          <w:szCs w:val="22"/>
        </w:rPr>
        <w:t xml:space="preserve"> must review the </w:t>
      </w:r>
      <w:r>
        <w:rPr>
          <w:rFonts w:cs="Arial"/>
          <w:szCs w:val="22"/>
        </w:rPr>
        <w:t xml:space="preserve">IDP and </w:t>
      </w:r>
      <w:r w:rsidRPr="00330CA9">
        <w:rPr>
          <w:rFonts w:cs="Arial"/>
          <w:szCs w:val="22"/>
        </w:rPr>
        <w:t>risk management plan for th</w:t>
      </w:r>
      <w:r w:rsidR="005D7BCE">
        <w:rPr>
          <w:rFonts w:cs="Arial"/>
          <w:szCs w:val="22"/>
        </w:rPr>
        <w:t>e client every three months (refer to</w:t>
      </w:r>
      <w:r w:rsidRPr="00330CA9">
        <w:rPr>
          <w:rFonts w:cs="Arial"/>
          <w:szCs w:val="22"/>
        </w:rPr>
        <w:t xml:space="preserve"> </w:t>
      </w:r>
      <w:r w:rsidRPr="00330CA9">
        <w:rPr>
          <w:rFonts w:cs="Arial"/>
          <w:i/>
          <w:szCs w:val="22"/>
        </w:rPr>
        <w:t>Director of Forensic Disability Procedure – Individual Development Plan</w:t>
      </w:r>
      <w:r w:rsidRPr="00330CA9">
        <w:rPr>
          <w:rFonts w:cs="Arial"/>
          <w:szCs w:val="22"/>
        </w:rPr>
        <w:t xml:space="preserve">). </w:t>
      </w:r>
      <w:r>
        <w:rPr>
          <w:rFonts w:cs="Arial"/>
          <w:szCs w:val="22"/>
        </w:rPr>
        <w:t>Every</w:t>
      </w:r>
      <w:r w:rsidRPr="002218BD">
        <w:rPr>
          <w:rFonts w:cs="Arial"/>
          <w:szCs w:val="22"/>
        </w:rPr>
        <w:t xml:space="preserve"> review</w:t>
      </w:r>
      <w:r>
        <w:rPr>
          <w:rFonts w:cs="Arial"/>
          <w:szCs w:val="22"/>
        </w:rPr>
        <w:t xml:space="preserve"> of the client </w:t>
      </w:r>
      <w:r w:rsidRPr="002218BD">
        <w:rPr>
          <w:rFonts w:cs="Arial"/>
          <w:szCs w:val="22"/>
        </w:rPr>
        <w:t>and assessment of the client</w:t>
      </w:r>
      <w:r>
        <w:rPr>
          <w:rFonts w:cs="Arial"/>
          <w:szCs w:val="22"/>
        </w:rPr>
        <w:t>’s current risk</w:t>
      </w:r>
      <w:r w:rsidRPr="002218BD">
        <w:rPr>
          <w:rFonts w:cs="Arial"/>
          <w:szCs w:val="22"/>
        </w:rPr>
        <w:t xml:space="preserve"> must take into consideration </w:t>
      </w:r>
      <w:r>
        <w:rPr>
          <w:rFonts w:cs="Arial"/>
          <w:szCs w:val="22"/>
        </w:rPr>
        <w:t xml:space="preserve">the fact that the client is alleged to have committed a serious violent offence and the </w:t>
      </w:r>
      <w:r w:rsidRPr="002218BD">
        <w:rPr>
          <w:rFonts w:cs="Arial"/>
          <w:szCs w:val="22"/>
        </w:rPr>
        <w:t xml:space="preserve">need to protect the community.  </w:t>
      </w:r>
    </w:p>
    <w:p w14:paraId="47B6851F" w14:textId="77777777" w:rsidR="00C8313A" w:rsidRDefault="00C8313A" w:rsidP="00C8313A">
      <w:pPr>
        <w:suppressAutoHyphens/>
        <w:jc w:val="both"/>
        <w:rPr>
          <w:rFonts w:cs="Arial"/>
          <w:szCs w:val="22"/>
        </w:rPr>
      </w:pPr>
      <w:r>
        <w:rPr>
          <w:rFonts w:cs="Arial"/>
          <w:szCs w:val="22"/>
        </w:rPr>
        <w:t>Furthermore, t</w:t>
      </w:r>
      <w:r w:rsidRPr="002218BD">
        <w:rPr>
          <w:rFonts w:cs="Arial"/>
          <w:szCs w:val="22"/>
        </w:rPr>
        <w:t xml:space="preserve">he </w:t>
      </w:r>
      <w:r>
        <w:rPr>
          <w:rFonts w:cs="Arial"/>
          <w:szCs w:val="22"/>
        </w:rPr>
        <w:t>Senior Practitioner</w:t>
      </w:r>
      <w:r w:rsidRPr="002218BD">
        <w:rPr>
          <w:rFonts w:cs="Arial"/>
          <w:szCs w:val="22"/>
        </w:rPr>
        <w:t xml:space="preserve"> must ensure that the client’s risk management plan </w:t>
      </w:r>
      <w:r>
        <w:rPr>
          <w:rFonts w:cs="Arial"/>
          <w:szCs w:val="22"/>
        </w:rPr>
        <w:t>remains</w:t>
      </w:r>
      <w:r w:rsidRPr="002218BD">
        <w:rPr>
          <w:rFonts w:cs="Arial"/>
          <w:szCs w:val="22"/>
        </w:rPr>
        <w:t xml:space="preserve"> up to date and reflects the current risk factors and strategies</w:t>
      </w:r>
      <w:r>
        <w:rPr>
          <w:rFonts w:cs="Arial"/>
          <w:szCs w:val="22"/>
        </w:rPr>
        <w:t xml:space="preserve"> in place</w:t>
      </w:r>
      <w:r w:rsidRPr="002218BD">
        <w:rPr>
          <w:rFonts w:cs="Arial"/>
          <w:szCs w:val="22"/>
        </w:rPr>
        <w:t xml:space="preserve"> to reduce risk. </w:t>
      </w:r>
      <w:r>
        <w:rPr>
          <w:rFonts w:cs="Arial"/>
          <w:szCs w:val="22"/>
        </w:rPr>
        <w:t xml:space="preserve">Where </w:t>
      </w:r>
      <w:r w:rsidRPr="00957DCB">
        <w:rPr>
          <w:rFonts w:cs="Arial"/>
          <w:szCs w:val="22"/>
        </w:rPr>
        <w:t xml:space="preserve">concerns </w:t>
      </w:r>
      <w:r>
        <w:rPr>
          <w:rFonts w:cs="Arial"/>
          <w:szCs w:val="22"/>
        </w:rPr>
        <w:t xml:space="preserve">about a client’s risk are </w:t>
      </w:r>
      <w:r w:rsidRPr="00957DCB">
        <w:rPr>
          <w:rFonts w:cs="Arial"/>
          <w:szCs w:val="22"/>
        </w:rPr>
        <w:t>raised by FDS</w:t>
      </w:r>
      <w:r>
        <w:rPr>
          <w:rFonts w:cs="Arial"/>
          <w:szCs w:val="22"/>
        </w:rPr>
        <w:t xml:space="preserve"> staff</w:t>
      </w:r>
      <w:r w:rsidRPr="00957DCB">
        <w:rPr>
          <w:rFonts w:cs="Arial"/>
          <w:szCs w:val="22"/>
        </w:rPr>
        <w:t xml:space="preserve">, the allied person or other support persons </w:t>
      </w:r>
      <w:r>
        <w:rPr>
          <w:rFonts w:cs="Arial"/>
          <w:szCs w:val="22"/>
        </w:rPr>
        <w:t>and/or recent significant events have occurred, these must be taken into account and inform the</w:t>
      </w:r>
      <w:r w:rsidRPr="004F521A">
        <w:rPr>
          <w:rFonts w:cs="Arial"/>
          <w:szCs w:val="22"/>
        </w:rPr>
        <w:t xml:space="preserve"> </w:t>
      </w:r>
      <w:r>
        <w:rPr>
          <w:rFonts w:cs="Arial"/>
          <w:szCs w:val="22"/>
        </w:rPr>
        <w:t xml:space="preserve">current risk management plan. </w:t>
      </w:r>
    </w:p>
    <w:p w14:paraId="5346A14C" w14:textId="77777777" w:rsidR="00C8313A" w:rsidRPr="00E92F80" w:rsidRDefault="00C8313A" w:rsidP="005D7BCE">
      <w:pPr>
        <w:pStyle w:val="Heading3"/>
        <w:numPr>
          <w:ilvl w:val="0"/>
          <w:numId w:val="33"/>
        </w:numPr>
      </w:pPr>
      <w:r w:rsidRPr="002218BD">
        <w:t xml:space="preserve">Limited </w:t>
      </w:r>
      <w:r w:rsidRPr="00E92F80">
        <w:t>Community Treatment</w:t>
      </w:r>
    </w:p>
    <w:p w14:paraId="57A6C05E" w14:textId="0F89727A" w:rsidR="00C8313A" w:rsidRDefault="00BD65E6" w:rsidP="00C8313A">
      <w:pPr>
        <w:suppressAutoHyphens/>
        <w:jc w:val="both"/>
        <w:rPr>
          <w:rFonts w:cs="Arial"/>
          <w:color w:val="000000"/>
          <w:szCs w:val="22"/>
        </w:rPr>
      </w:pPr>
      <w:r>
        <w:rPr>
          <w:rFonts w:cs="Arial"/>
          <w:color w:val="000000"/>
          <w:szCs w:val="22"/>
        </w:rPr>
        <w:t>The</w:t>
      </w:r>
      <w:r w:rsidRPr="0098536E">
        <w:rPr>
          <w:rFonts w:cs="Arial"/>
          <w:color w:val="000000"/>
          <w:szCs w:val="22"/>
        </w:rPr>
        <w:t xml:space="preserve"> </w:t>
      </w:r>
      <w:r w:rsidR="00C8313A">
        <w:rPr>
          <w:rFonts w:cs="Arial"/>
          <w:color w:val="000000"/>
          <w:szCs w:val="22"/>
        </w:rPr>
        <w:t>Senior Practitioner</w:t>
      </w:r>
      <w:r w:rsidR="00C8313A" w:rsidRPr="0098536E">
        <w:rPr>
          <w:rFonts w:cs="Arial"/>
          <w:color w:val="000000"/>
          <w:szCs w:val="22"/>
        </w:rPr>
        <w:t xml:space="preserve"> may authorise </w:t>
      </w:r>
      <w:r w:rsidR="00C8313A">
        <w:rPr>
          <w:rFonts w:cs="Arial"/>
          <w:color w:val="000000"/>
          <w:szCs w:val="22"/>
        </w:rPr>
        <w:t>Limited Community Treatment</w:t>
      </w:r>
      <w:r w:rsidR="00C8313A" w:rsidRPr="0098536E">
        <w:rPr>
          <w:rFonts w:cs="Arial"/>
          <w:color w:val="000000"/>
          <w:szCs w:val="22"/>
        </w:rPr>
        <w:t xml:space="preserve"> </w:t>
      </w:r>
      <w:r w:rsidR="00C8313A">
        <w:rPr>
          <w:rFonts w:cs="Arial"/>
          <w:color w:val="000000"/>
          <w:szCs w:val="22"/>
        </w:rPr>
        <w:t xml:space="preserve">(LCT) </w:t>
      </w:r>
      <w:r w:rsidR="00C8313A" w:rsidRPr="0098536E">
        <w:rPr>
          <w:rFonts w:cs="Arial"/>
          <w:color w:val="000000"/>
          <w:szCs w:val="22"/>
        </w:rPr>
        <w:t>for a client</w:t>
      </w:r>
      <w:r w:rsidR="00C8313A">
        <w:rPr>
          <w:rFonts w:cs="Arial"/>
          <w:color w:val="000000"/>
          <w:szCs w:val="22"/>
        </w:rPr>
        <w:t xml:space="preserve"> where it has </w:t>
      </w:r>
      <w:r w:rsidR="00C8313A" w:rsidRPr="002F1809">
        <w:rPr>
          <w:rFonts w:cs="Arial"/>
          <w:color w:val="000000"/>
          <w:szCs w:val="22"/>
        </w:rPr>
        <w:t>been approved by the</w:t>
      </w:r>
      <w:r w:rsidR="00C8313A">
        <w:rPr>
          <w:rFonts w:cs="Arial"/>
          <w:color w:val="000000"/>
          <w:szCs w:val="22"/>
        </w:rPr>
        <w:t xml:space="preserve"> Mental Health Court (MHC) or the</w:t>
      </w:r>
      <w:r w:rsidR="00C8313A" w:rsidRPr="002F1809">
        <w:rPr>
          <w:rFonts w:cs="Arial"/>
          <w:color w:val="000000"/>
          <w:szCs w:val="22"/>
        </w:rPr>
        <w:t xml:space="preserve"> Mental Health Review Tribunal (MHRT). </w:t>
      </w:r>
      <w:r w:rsidR="00C8313A">
        <w:rPr>
          <w:rFonts w:cs="Arial"/>
          <w:color w:val="000000"/>
          <w:szCs w:val="22"/>
        </w:rPr>
        <w:t xml:space="preserve">When deciding whether or not to authorise LCT, </w:t>
      </w:r>
      <w:r>
        <w:rPr>
          <w:rFonts w:cs="Arial"/>
          <w:color w:val="000000"/>
          <w:szCs w:val="22"/>
        </w:rPr>
        <w:t>the</w:t>
      </w:r>
      <w:r w:rsidRPr="0098536E">
        <w:rPr>
          <w:rFonts w:cs="Arial"/>
          <w:color w:val="000000"/>
          <w:szCs w:val="22"/>
        </w:rPr>
        <w:t xml:space="preserve"> </w:t>
      </w:r>
      <w:r w:rsidR="00C8313A">
        <w:rPr>
          <w:rFonts w:cs="Arial"/>
          <w:color w:val="000000"/>
          <w:szCs w:val="22"/>
        </w:rPr>
        <w:t>Senior Practitioner</w:t>
      </w:r>
      <w:r w:rsidR="00C8313A" w:rsidRPr="0098536E">
        <w:rPr>
          <w:rFonts w:cs="Arial"/>
          <w:color w:val="000000"/>
          <w:szCs w:val="22"/>
        </w:rPr>
        <w:t xml:space="preserve"> must consider </w:t>
      </w:r>
      <w:r w:rsidR="00C8313A">
        <w:rPr>
          <w:rFonts w:cs="Arial"/>
          <w:color w:val="000000"/>
          <w:szCs w:val="22"/>
        </w:rPr>
        <w:t xml:space="preserve">all reasonable </w:t>
      </w:r>
      <w:r w:rsidR="00C8313A" w:rsidRPr="0098536E">
        <w:rPr>
          <w:rFonts w:cs="Arial"/>
          <w:color w:val="000000"/>
          <w:szCs w:val="22"/>
        </w:rPr>
        <w:t xml:space="preserve">risk factors for the client </w:t>
      </w:r>
      <w:r w:rsidR="00C8313A">
        <w:rPr>
          <w:rFonts w:cs="Arial"/>
          <w:color w:val="000000"/>
          <w:szCs w:val="22"/>
        </w:rPr>
        <w:t xml:space="preserve">when </w:t>
      </w:r>
      <w:r w:rsidR="00C8313A" w:rsidRPr="0098536E">
        <w:rPr>
          <w:rFonts w:cs="Arial"/>
          <w:color w:val="000000"/>
          <w:szCs w:val="22"/>
        </w:rPr>
        <w:t xml:space="preserve">in the community, </w:t>
      </w:r>
      <w:r w:rsidR="00C8313A">
        <w:rPr>
          <w:rFonts w:cs="Arial"/>
          <w:color w:val="000000"/>
          <w:szCs w:val="22"/>
        </w:rPr>
        <w:t xml:space="preserve">the serious nature of the prescribed offence and the need to protect the community. </w:t>
      </w:r>
    </w:p>
    <w:p w14:paraId="21EB8588" w14:textId="33C83B37" w:rsidR="00C8313A" w:rsidRPr="0098536E" w:rsidRDefault="00CF067E" w:rsidP="00C8313A">
      <w:pPr>
        <w:suppressAutoHyphens/>
        <w:jc w:val="both"/>
        <w:rPr>
          <w:rFonts w:cs="Arial"/>
          <w:color w:val="000000"/>
          <w:szCs w:val="22"/>
        </w:rPr>
      </w:pPr>
      <w:r>
        <w:rPr>
          <w:rFonts w:cs="Arial"/>
          <w:color w:val="000000"/>
          <w:szCs w:val="22"/>
        </w:rPr>
        <w:t>The Senior</w:t>
      </w:r>
      <w:r w:rsidR="00C8313A">
        <w:rPr>
          <w:rFonts w:cs="Arial"/>
          <w:color w:val="000000"/>
          <w:szCs w:val="22"/>
        </w:rPr>
        <w:t xml:space="preserve"> Practitioner must ensure that, prior to authorising LCT, a limited community treatment</w:t>
      </w:r>
      <w:r w:rsidR="00C8313A" w:rsidRPr="0098536E">
        <w:rPr>
          <w:rFonts w:cs="Arial"/>
          <w:color w:val="000000"/>
          <w:szCs w:val="22"/>
        </w:rPr>
        <w:t xml:space="preserve"> plan</w:t>
      </w:r>
      <w:r w:rsidR="00C8313A">
        <w:rPr>
          <w:rFonts w:cs="Arial"/>
          <w:color w:val="000000"/>
          <w:szCs w:val="22"/>
        </w:rPr>
        <w:t xml:space="preserve"> is in </w:t>
      </w:r>
      <w:r w:rsidR="00C8313A" w:rsidRPr="0098536E">
        <w:rPr>
          <w:rFonts w:cs="Arial"/>
          <w:color w:val="000000"/>
          <w:szCs w:val="22"/>
        </w:rPr>
        <w:t xml:space="preserve">place </w:t>
      </w:r>
      <w:r w:rsidR="00C8313A">
        <w:rPr>
          <w:rFonts w:cs="Arial"/>
          <w:color w:val="000000"/>
          <w:szCs w:val="22"/>
        </w:rPr>
        <w:t xml:space="preserve">that takes into consideration the client’s known risks and strategies to </w:t>
      </w:r>
      <w:r w:rsidR="00C8313A" w:rsidRPr="0098536E">
        <w:rPr>
          <w:rFonts w:cs="Arial"/>
          <w:color w:val="000000"/>
          <w:szCs w:val="22"/>
        </w:rPr>
        <w:t>mitigate</w:t>
      </w:r>
      <w:r w:rsidR="00C8313A">
        <w:rPr>
          <w:rFonts w:cs="Arial"/>
          <w:color w:val="000000"/>
          <w:szCs w:val="22"/>
        </w:rPr>
        <w:t xml:space="preserve"> those </w:t>
      </w:r>
      <w:r w:rsidR="00C8313A">
        <w:rPr>
          <w:rFonts w:cs="Arial"/>
          <w:color w:val="000000"/>
          <w:szCs w:val="22"/>
        </w:rPr>
        <w:lastRenderedPageBreak/>
        <w:t>risks. The Senior Practitioner must also ensure a</w:t>
      </w:r>
      <w:r w:rsidR="00C8313A" w:rsidRPr="0098536E">
        <w:rPr>
          <w:rFonts w:cs="Arial"/>
          <w:color w:val="000000"/>
          <w:szCs w:val="22"/>
        </w:rPr>
        <w:t xml:space="preserve"> </w:t>
      </w:r>
      <w:r w:rsidR="00C8313A">
        <w:rPr>
          <w:rFonts w:cs="Arial"/>
          <w:color w:val="000000"/>
          <w:szCs w:val="22"/>
        </w:rPr>
        <w:t xml:space="preserve">dynamic </w:t>
      </w:r>
      <w:r w:rsidR="00C8313A" w:rsidRPr="0098536E">
        <w:rPr>
          <w:rFonts w:cs="Arial"/>
          <w:color w:val="000000"/>
          <w:szCs w:val="22"/>
        </w:rPr>
        <w:t>risk assessment</w:t>
      </w:r>
      <w:r w:rsidR="00C8313A">
        <w:rPr>
          <w:rFonts w:cs="Arial"/>
          <w:color w:val="000000"/>
          <w:szCs w:val="22"/>
        </w:rPr>
        <w:t xml:space="preserve"> of the client is conducted </w:t>
      </w:r>
      <w:r w:rsidR="00C8313A" w:rsidRPr="0098536E">
        <w:rPr>
          <w:rFonts w:cs="Arial"/>
          <w:color w:val="000000"/>
          <w:szCs w:val="22"/>
        </w:rPr>
        <w:t>prior to authoris</w:t>
      </w:r>
      <w:r w:rsidR="00C8313A">
        <w:rPr>
          <w:rFonts w:cs="Arial"/>
          <w:color w:val="000000"/>
          <w:szCs w:val="22"/>
        </w:rPr>
        <w:t>ing LCT (</w:t>
      </w:r>
      <w:r w:rsidR="00C8313A" w:rsidRPr="002F1809">
        <w:rPr>
          <w:rFonts w:cs="Arial"/>
          <w:color w:val="000000"/>
          <w:szCs w:val="22"/>
        </w:rPr>
        <w:t xml:space="preserve">refer to the </w:t>
      </w:r>
      <w:r w:rsidR="00C8313A">
        <w:rPr>
          <w:rFonts w:cs="Arial"/>
          <w:i/>
          <w:color w:val="000000"/>
          <w:szCs w:val="22"/>
        </w:rPr>
        <w:t xml:space="preserve">Director of Forensic Disability Procedure - </w:t>
      </w:r>
      <w:r w:rsidR="005D7BCE">
        <w:rPr>
          <w:rFonts w:cs="Arial"/>
          <w:i/>
          <w:color w:val="000000"/>
          <w:szCs w:val="22"/>
        </w:rPr>
        <w:t>Clinical Risk Assessment and M</w:t>
      </w:r>
      <w:r w:rsidR="00C8313A">
        <w:rPr>
          <w:rFonts w:cs="Arial"/>
          <w:i/>
          <w:color w:val="000000"/>
          <w:szCs w:val="22"/>
        </w:rPr>
        <w:t>anagement)</w:t>
      </w:r>
      <w:r w:rsidR="00C8313A">
        <w:rPr>
          <w:rFonts w:cs="Arial"/>
          <w:color w:val="000000"/>
          <w:szCs w:val="22"/>
        </w:rPr>
        <w:t>.</w:t>
      </w:r>
    </w:p>
    <w:p w14:paraId="1FF941BD" w14:textId="4B6C5621" w:rsidR="00C8313A" w:rsidRPr="0098536E" w:rsidRDefault="00BD65E6" w:rsidP="00C8313A">
      <w:pPr>
        <w:suppressAutoHyphens/>
        <w:jc w:val="both"/>
        <w:rPr>
          <w:rFonts w:cs="Arial"/>
          <w:color w:val="000000"/>
          <w:szCs w:val="22"/>
        </w:rPr>
      </w:pPr>
      <w:r>
        <w:rPr>
          <w:rFonts w:cs="Arial"/>
          <w:color w:val="000000"/>
          <w:szCs w:val="22"/>
        </w:rPr>
        <w:t>The</w:t>
      </w:r>
      <w:r w:rsidRPr="0098536E">
        <w:rPr>
          <w:rFonts w:cs="Arial"/>
          <w:color w:val="000000"/>
          <w:szCs w:val="22"/>
        </w:rPr>
        <w:t xml:space="preserve"> </w:t>
      </w:r>
      <w:r w:rsidR="00C8313A">
        <w:rPr>
          <w:rFonts w:cs="Arial"/>
          <w:color w:val="000000"/>
          <w:szCs w:val="22"/>
        </w:rPr>
        <w:t>Senior Practitioner</w:t>
      </w:r>
      <w:r w:rsidR="00C8313A" w:rsidRPr="0098536E">
        <w:rPr>
          <w:rFonts w:cs="Arial"/>
          <w:color w:val="000000"/>
          <w:szCs w:val="22"/>
        </w:rPr>
        <w:t xml:space="preserve"> may:</w:t>
      </w:r>
    </w:p>
    <w:p w14:paraId="2FBEF9AE" w14:textId="77777777" w:rsidR="00C8313A" w:rsidRPr="0098536E" w:rsidRDefault="00C8313A" w:rsidP="005D7BCE">
      <w:pPr>
        <w:pStyle w:val="ListParagraph"/>
        <w:numPr>
          <w:ilvl w:val="0"/>
          <w:numId w:val="37"/>
        </w:numPr>
      </w:pPr>
      <w:r w:rsidRPr="0098536E">
        <w:t xml:space="preserve">authorise </w:t>
      </w:r>
      <w:r>
        <w:t>community treatment</w:t>
      </w:r>
      <w:r w:rsidRPr="0098536E">
        <w:t xml:space="preserve"> up to</w:t>
      </w:r>
      <w:r>
        <w:t>,</w:t>
      </w:r>
      <w:r w:rsidRPr="0098536E">
        <w:t xml:space="preserve"> and including</w:t>
      </w:r>
      <w:r>
        <w:t>,</w:t>
      </w:r>
      <w:r w:rsidRPr="0098536E">
        <w:t xml:space="preserve"> the maximum level of </w:t>
      </w:r>
      <w:r>
        <w:t>community treatment</w:t>
      </w:r>
      <w:r w:rsidRPr="0098536E">
        <w:t xml:space="preserve"> approved by the MHC or the MHRT; and</w:t>
      </w:r>
    </w:p>
    <w:p w14:paraId="7EDCF8C6" w14:textId="235AECEF" w:rsidR="00C8313A" w:rsidRPr="005D7BCE" w:rsidRDefault="00C8313A" w:rsidP="005D7BCE">
      <w:pPr>
        <w:pStyle w:val="ListParagraph"/>
        <w:numPr>
          <w:ilvl w:val="0"/>
          <w:numId w:val="37"/>
        </w:numPr>
        <w:rPr>
          <w:u w:val="single"/>
        </w:rPr>
      </w:pPr>
      <w:r w:rsidRPr="0098536E">
        <w:t xml:space="preserve">include additional </w:t>
      </w:r>
      <w:r>
        <w:t>community treatment</w:t>
      </w:r>
      <w:r w:rsidRPr="0098536E">
        <w:t xml:space="preserve"> conditions necessary for managing the client’s care</w:t>
      </w:r>
      <w:r>
        <w:t>,</w:t>
      </w:r>
      <w:r w:rsidRPr="0098536E">
        <w:t xml:space="preserve"> support</w:t>
      </w:r>
      <w:r>
        <w:t xml:space="preserve"> and risk</w:t>
      </w:r>
      <w:r w:rsidR="005D7BCE">
        <w:t>.</w:t>
      </w:r>
    </w:p>
    <w:p w14:paraId="1EFE7854" w14:textId="77777777" w:rsidR="005D7BCE" w:rsidRPr="005D7BCE" w:rsidRDefault="005D7BCE" w:rsidP="005D7BCE">
      <w:pPr>
        <w:pStyle w:val="ListParagraph"/>
        <w:ind w:left="646"/>
        <w:rPr>
          <w:u w:val="single"/>
        </w:rPr>
      </w:pPr>
    </w:p>
    <w:p w14:paraId="7E40C062" w14:textId="0A971C59" w:rsidR="00C8313A" w:rsidRPr="006E17DE" w:rsidRDefault="00C8313A" w:rsidP="005D7BCE">
      <w:pPr>
        <w:pStyle w:val="Heading3"/>
        <w:numPr>
          <w:ilvl w:val="0"/>
          <w:numId w:val="33"/>
        </w:numPr>
      </w:pPr>
      <w:r>
        <w:t>C</w:t>
      </w:r>
      <w:r w:rsidRPr="006E17DE">
        <w:t xml:space="preserve">orrespondence and visitors </w:t>
      </w:r>
    </w:p>
    <w:p w14:paraId="15216491" w14:textId="6F3AA9F2" w:rsidR="00C8313A" w:rsidRPr="006E17DE" w:rsidRDefault="00C8313A" w:rsidP="00C8313A">
      <w:pPr>
        <w:suppressAutoHyphens/>
        <w:jc w:val="both"/>
        <w:rPr>
          <w:rFonts w:cs="Arial"/>
          <w:b/>
        </w:rPr>
      </w:pPr>
      <w:r>
        <w:rPr>
          <w:rFonts w:cs="Arial"/>
          <w:szCs w:val="22"/>
        </w:rPr>
        <w:t xml:space="preserve">Clients who have committed prescribed </w:t>
      </w:r>
      <w:r w:rsidRPr="00305679">
        <w:rPr>
          <w:rFonts w:cs="Arial"/>
          <w:szCs w:val="22"/>
        </w:rPr>
        <w:t xml:space="preserve">offences </w:t>
      </w:r>
      <w:r w:rsidR="00D86FFC">
        <w:rPr>
          <w:rFonts w:cs="Arial"/>
          <w:szCs w:val="22"/>
        </w:rPr>
        <w:t>should</w:t>
      </w:r>
      <w:r w:rsidR="00D86FFC" w:rsidRPr="002218BD">
        <w:rPr>
          <w:rFonts w:cs="Arial"/>
          <w:szCs w:val="22"/>
        </w:rPr>
        <w:t xml:space="preserve"> </w:t>
      </w:r>
      <w:r w:rsidRPr="002218BD">
        <w:rPr>
          <w:rFonts w:cs="Arial"/>
          <w:szCs w:val="22"/>
        </w:rPr>
        <w:t xml:space="preserve">not </w:t>
      </w:r>
      <w:r w:rsidR="00D86FFC">
        <w:rPr>
          <w:rFonts w:cs="Arial"/>
          <w:szCs w:val="22"/>
        </w:rPr>
        <w:t xml:space="preserve">be </w:t>
      </w:r>
      <w:r w:rsidRPr="002218BD">
        <w:rPr>
          <w:rFonts w:cs="Arial"/>
          <w:szCs w:val="22"/>
        </w:rPr>
        <w:t>permitted to contact victims</w:t>
      </w:r>
      <w:r>
        <w:rPr>
          <w:rFonts w:cs="Arial"/>
          <w:szCs w:val="22"/>
        </w:rPr>
        <w:t>,</w:t>
      </w:r>
      <w:r w:rsidRPr="002218BD">
        <w:rPr>
          <w:rFonts w:cs="Arial"/>
          <w:szCs w:val="22"/>
        </w:rPr>
        <w:t xml:space="preserve"> including alleged victims</w:t>
      </w:r>
      <w:r w:rsidR="00D86FFC">
        <w:rPr>
          <w:rFonts w:cs="Arial"/>
          <w:szCs w:val="22"/>
        </w:rPr>
        <w:t xml:space="preserve"> of the prescribed offences unless a risk assessment has been undertaken giving due consideration to potential impact on the victim and the appropriateness of the contact</w:t>
      </w:r>
      <w:r w:rsidRPr="00305679">
        <w:rPr>
          <w:rFonts w:cs="Arial"/>
          <w:szCs w:val="22"/>
        </w:rPr>
        <w:t>.</w:t>
      </w:r>
      <w:r w:rsidRPr="00E557CD">
        <w:rPr>
          <w:rFonts w:cs="Arial"/>
          <w:szCs w:val="22"/>
        </w:rPr>
        <w:t xml:space="preserve"> FDS staff </w:t>
      </w:r>
      <w:r>
        <w:rPr>
          <w:rFonts w:cs="Arial"/>
          <w:szCs w:val="22"/>
        </w:rPr>
        <w:t xml:space="preserve">must </w:t>
      </w:r>
      <w:r w:rsidRPr="00B00C96">
        <w:rPr>
          <w:rFonts w:cs="Arial"/>
          <w:szCs w:val="22"/>
        </w:rPr>
        <w:t>notify the clinical team leader/</w:t>
      </w:r>
      <w:r>
        <w:rPr>
          <w:rFonts w:cs="Arial"/>
          <w:szCs w:val="22"/>
        </w:rPr>
        <w:t>Senior Practitioner</w:t>
      </w:r>
      <w:r w:rsidRPr="00B00C96">
        <w:rPr>
          <w:rFonts w:cs="Arial"/>
          <w:szCs w:val="22"/>
        </w:rPr>
        <w:t xml:space="preserve"> or </w:t>
      </w:r>
      <w:r>
        <w:rPr>
          <w:rFonts w:cs="Arial"/>
          <w:szCs w:val="22"/>
        </w:rPr>
        <w:t>Administrator</w:t>
      </w:r>
      <w:r w:rsidRPr="00B00C96">
        <w:rPr>
          <w:rFonts w:cs="Arial"/>
          <w:szCs w:val="22"/>
        </w:rPr>
        <w:t xml:space="preserve"> of any alleged contact</w:t>
      </w:r>
      <w:r w:rsidRPr="002F1809">
        <w:rPr>
          <w:rFonts w:cs="Arial"/>
          <w:szCs w:val="22"/>
        </w:rPr>
        <w:t>.</w:t>
      </w:r>
      <w:r w:rsidRPr="00B00C96">
        <w:rPr>
          <w:rFonts w:cs="Arial"/>
          <w:szCs w:val="22"/>
        </w:rPr>
        <w:t xml:space="preserve"> </w:t>
      </w:r>
    </w:p>
    <w:p w14:paraId="5762AA08" w14:textId="02159DC7" w:rsidR="00861193" w:rsidRPr="00B966AD" w:rsidRDefault="00861193" w:rsidP="00861193">
      <w:pPr>
        <w:tabs>
          <w:tab w:val="left" w:pos="2552"/>
        </w:tabs>
        <w:spacing w:before="360"/>
      </w:pPr>
      <w:r w:rsidRPr="00B966AD">
        <w:rPr>
          <w:b/>
        </w:rPr>
        <w:t>Date of approval:</w:t>
      </w:r>
      <w:r w:rsidR="00C8313A">
        <w:tab/>
      </w:r>
      <w:r w:rsidR="00335752">
        <w:t>09</w:t>
      </w:r>
      <w:r w:rsidR="00335752" w:rsidRPr="00B966AD">
        <w:t xml:space="preserve"> </w:t>
      </w:r>
      <w:r w:rsidR="00335752">
        <w:t>January</w:t>
      </w:r>
      <w:r w:rsidR="006E592D">
        <w:t xml:space="preserve"> </w:t>
      </w:r>
      <w:r w:rsidRPr="00B966AD">
        <w:t>202</w:t>
      </w:r>
      <w:r w:rsidR="00335752">
        <w:t>3</w:t>
      </w:r>
    </w:p>
    <w:p w14:paraId="7F21D20A" w14:textId="21968CF6" w:rsidR="00861193" w:rsidRPr="00B966AD" w:rsidRDefault="00861193" w:rsidP="00861193">
      <w:pPr>
        <w:tabs>
          <w:tab w:val="left" w:pos="2552"/>
        </w:tabs>
      </w:pPr>
      <w:r w:rsidRPr="00B966AD">
        <w:rPr>
          <w:b/>
        </w:rPr>
        <w:t>Date of operation:</w:t>
      </w:r>
      <w:r w:rsidR="00204104">
        <w:tab/>
      </w:r>
      <w:r w:rsidR="00335752">
        <w:t>01</w:t>
      </w:r>
      <w:r w:rsidRPr="00B966AD">
        <w:t xml:space="preserve"> </w:t>
      </w:r>
      <w:r w:rsidR="00335752">
        <w:t>February</w:t>
      </w:r>
      <w:r w:rsidRPr="00B966AD">
        <w:t xml:space="preserve"> 202</w:t>
      </w:r>
      <w:r w:rsidR="006E592D">
        <w:t>3</w:t>
      </w:r>
    </w:p>
    <w:p w14:paraId="4F83C15E" w14:textId="55207276" w:rsidR="00861193" w:rsidRPr="00B966AD" w:rsidRDefault="00861193" w:rsidP="00861193">
      <w:pPr>
        <w:pBdr>
          <w:bottom w:val="single" w:sz="6" w:space="1" w:color="auto"/>
        </w:pBdr>
        <w:tabs>
          <w:tab w:val="left" w:pos="2552"/>
        </w:tabs>
      </w:pPr>
      <w:r w:rsidRPr="00B966AD">
        <w:rPr>
          <w:b/>
        </w:rPr>
        <w:t>Date to be reviewed:</w:t>
      </w:r>
      <w:r w:rsidRPr="00B966AD">
        <w:tab/>
      </w:r>
      <w:r w:rsidR="00335752">
        <w:t>01</w:t>
      </w:r>
      <w:r w:rsidR="009C11D2" w:rsidRPr="00B966AD">
        <w:t xml:space="preserve"> </w:t>
      </w:r>
      <w:r w:rsidR="00335752">
        <w:t>February</w:t>
      </w:r>
      <w:r w:rsidR="00335752" w:rsidRPr="00B966AD">
        <w:t xml:space="preserve"> </w:t>
      </w:r>
      <w:r w:rsidRPr="00B966AD">
        <w:t>202</w:t>
      </w:r>
      <w:r w:rsidR="002B2C18">
        <w:t>6</w:t>
      </w:r>
    </w:p>
    <w:p w14:paraId="0C9E172E" w14:textId="377A8FC9" w:rsidR="00861193" w:rsidRPr="00B966AD" w:rsidRDefault="002B2C18" w:rsidP="00861193">
      <w:pPr>
        <w:tabs>
          <w:tab w:val="left" w:pos="2552"/>
        </w:tabs>
      </w:pPr>
      <w:r>
        <w:rPr>
          <w:b/>
        </w:rPr>
        <w:t>Designation</w:t>
      </w:r>
      <w:r w:rsidR="00861193" w:rsidRPr="00B966AD">
        <w:rPr>
          <w:b/>
        </w:rPr>
        <w:t>:</w:t>
      </w:r>
      <w:r w:rsidR="00861193" w:rsidRPr="00B966AD">
        <w:tab/>
        <w:t>Director of Forensic Disability</w:t>
      </w:r>
    </w:p>
    <w:p w14:paraId="27EC05FF" w14:textId="12215EFB"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2B2C18">
          <w:rPr>
            <w:color w:val="0000FF" w:themeColor="hyperlink"/>
            <w:u w:val="single"/>
          </w:rPr>
          <w:t>directorforensicdisability@dsdsatsip.qld.gov.au</w:t>
        </w:r>
      </w:hyperlink>
    </w:p>
    <w:p w14:paraId="3140DA10" w14:textId="6E32CF13" w:rsidR="00A72C57" w:rsidRPr="00A72C57" w:rsidRDefault="00861193" w:rsidP="00A72C57">
      <w:pPr>
        <w:rPr>
          <w:lang w:val="en-US"/>
        </w:rPr>
      </w:pPr>
      <w:r w:rsidRPr="00B966AD">
        <w:rPr>
          <w:bCs/>
          <w:sz w:val="24"/>
        </w:rPr>
        <w:t>Jenny Lynas</w:t>
      </w:r>
      <w:r w:rsidRPr="00B966AD">
        <w:rPr>
          <w:bCs/>
          <w:sz w:val="24"/>
        </w:rPr>
        <w:br/>
        <w:t>Director of Forensic Disability</w:t>
      </w: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3F1589">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7D"/>
    <w:multiLevelType w:val="hybridMultilevel"/>
    <w:tmpl w:val="B4662D02"/>
    <w:lvl w:ilvl="0" w:tplc="5E54216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5456E3"/>
    <w:multiLevelType w:val="hybridMultilevel"/>
    <w:tmpl w:val="634CF620"/>
    <w:lvl w:ilvl="0" w:tplc="F412206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F543D6"/>
    <w:multiLevelType w:val="hybridMultilevel"/>
    <w:tmpl w:val="4E44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B211A"/>
    <w:multiLevelType w:val="hybridMultilevel"/>
    <w:tmpl w:val="4B902D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8DA0A68"/>
    <w:multiLevelType w:val="hybridMultilevel"/>
    <w:tmpl w:val="118454A0"/>
    <w:lvl w:ilvl="0" w:tplc="0D32A6A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8A7A3D"/>
    <w:multiLevelType w:val="hybridMultilevel"/>
    <w:tmpl w:val="B19E6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71460"/>
    <w:multiLevelType w:val="hybridMultilevel"/>
    <w:tmpl w:val="5BC4D144"/>
    <w:lvl w:ilvl="0" w:tplc="0702563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42186A"/>
    <w:multiLevelType w:val="multilevel"/>
    <w:tmpl w:val="3D88DF58"/>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87732C"/>
    <w:multiLevelType w:val="hybridMultilevel"/>
    <w:tmpl w:val="4CC8F928"/>
    <w:lvl w:ilvl="0" w:tplc="D264DE0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DC1FB0"/>
    <w:multiLevelType w:val="hybridMultilevel"/>
    <w:tmpl w:val="7B3A0002"/>
    <w:lvl w:ilvl="0" w:tplc="F71EF692">
      <w:start w:val="1"/>
      <w:numFmt w:val="bullet"/>
      <w:lvlText w:val=""/>
      <w:lvlJc w:val="left"/>
      <w:pPr>
        <w:tabs>
          <w:tab w:val="num" w:pos="720"/>
        </w:tabs>
        <w:ind w:left="720" w:hanging="360"/>
      </w:pPr>
      <w:rPr>
        <w:rFonts w:ascii="Symbol" w:hAnsi="Symbol" w:hint="default"/>
        <w:sz w:val="22"/>
      </w:rPr>
    </w:lvl>
    <w:lvl w:ilvl="1" w:tplc="0C090001">
      <w:start w:val="1"/>
      <w:numFmt w:val="bullet"/>
      <w:lvlText w:val=""/>
      <w:lvlJc w:val="left"/>
      <w:pPr>
        <w:tabs>
          <w:tab w:val="num" w:pos="1800"/>
        </w:tabs>
        <w:ind w:left="1800" w:hanging="360"/>
      </w:pPr>
      <w:rPr>
        <w:rFonts w:ascii="Symbol" w:hAnsi="Symbol" w:hint="default"/>
        <w:sz w:val="22"/>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7A1A5C"/>
    <w:multiLevelType w:val="hybridMultilevel"/>
    <w:tmpl w:val="56EE71CC"/>
    <w:lvl w:ilvl="0" w:tplc="004A967A">
      <w:start w:val="1"/>
      <w:numFmt w:val="decimal"/>
      <w:lvlText w:val="%1."/>
      <w:lvlJc w:val="left"/>
      <w:pPr>
        <w:ind w:left="646" w:hanging="6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125093"/>
    <w:multiLevelType w:val="hybridMultilevel"/>
    <w:tmpl w:val="BC74662C"/>
    <w:lvl w:ilvl="0" w:tplc="6C5EE8A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0885972"/>
    <w:multiLevelType w:val="hybridMultilevel"/>
    <w:tmpl w:val="093EED22"/>
    <w:lvl w:ilvl="0" w:tplc="D340ED86">
      <w:start w:val="1"/>
      <w:numFmt w:val="decimal"/>
      <w:lvlText w:val="%1."/>
      <w:lvlJc w:val="left"/>
      <w:pPr>
        <w:tabs>
          <w:tab w:val="num" w:pos="720"/>
        </w:tabs>
        <w:ind w:left="720"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0F818E7"/>
    <w:multiLevelType w:val="hybridMultilevel"/>
    <w:tmpl w:val="25CC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237C4"/>
    <w:multiLevelType w:val="hybridMultilevel"/>
    <w:tmpl w:val="45E006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46F02911"/>
    <w:multiLevelType w:val="multilevel"/>
    <w:tmpl w:val="D862C41C"/>
    <w:lvl w:ilvl="0">
      <w:start w:val="1"/>
      <w:numFmt w:val="decimal"/>
      <w:lvlText w:val="%1."/>
      <w:lvlJc w:val="left"/>
      <w:pPr>
        <w:ind w:left="482" w:hanging="482"/>
      </w:pPr>
      <w:rPr>
        <w:rFonts w:hint="default"/>
      </w:rPr>
    </w:lvl>
    <w:lvl w:ilvl="1">
      <w:start w:val="1"/>
      <w:numFmt w:val="decimal"/>
      <w:lvlText w:val="%2."/>
      <w:lvlJc w:val="left"/>
      <w:pPr>
        <w:ind w:left="646" w:hanging="362"/>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8F05883"/>
    <w:multiLevelType w:val="hybridMultilevel"/>
    <w:tmpl w:val="8F8EB8FA"/>
    <w:lvl w:ilvl="0" w:tplc="C3ECADF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E3C289B"/>
    <w:multiLevelType w:val="hybridMultilevel"/>
    <w:tmpl w:val="84D68754"/>
    <w:lvl w:ilvl="0" w:tplc="15E43C5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EB820B9"/>
    <w:multiLevelType w:val="hybridMultilevel"/>
    <w:tmpl w:val="84C02AC8"/>
    <w:lvl w:ilvl="0" w:tplc="3AD21C2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1073202"/>
    <w:multiLevelType w:val="hybridMultilevel"/>
    <w:tmpl w:val="5D5ACD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3761595"/>
    <w:multiLevelType w:val="hybridMultilevel"/>
    <w:tmpl w:val="C9F0B85A"/>
    <w:lvl w:ilvl="0" w:tplc="5E042A8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6DB66A5"/>
    <w:multiLevelType w:val="hybridMultilevel"/>
    <w:tmpl w:val="741A792E"/>
    <w:lvl w:ilvl="0" w:tplc="C1BCE4F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82B4034"/>
    <w:multiLevelType w:val="hybridMultilevel"/>
    <w:tmpl w:val="452C188E"/>
    <w:lvl w:ilvl="0" w:tplc="044C469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CC2420E"/>
    <w:multiLevelType w:val="hybridMultilevel"/>
    <w:tmpl w:val="549073F2"/>
    <w:lvl w:ilvl="0" w:tplc="F692BF4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DDC0C56"/>
    <w:multiLevelType w:val="hybridMultilevel"/>
    <w:tmpl w:val="4464F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D15B1"/>
    <w:multiLevelType w:val="hybridMultilevel"/>
    <w:tmpl w:val="AB90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F13840"/>
    <w:multiLevelType w:val="hybridMultilevel"/>
    <w:tmpl w:val="45402B68"/>
    <w:lvl w:ilvl="0" w:tplc="0C090001">
      <w:start w:val="1"/>
      <w:numFmt w:val="bullet"/>
      <w:lvlText w:val=""/>
      <w:lvlJc w:val="left"/>
      <w:pPr>
        <w:tabs>
          <w:tab w:val="num" w:pos="1074"/>
        </w:tabs>
        <w:ind w:left="1074" w:hanging="360"/>
      </w:pPr>
      <w:rPr>
        <w:rFonts w:ascii="Symbol" w:hAnsi="Symbol" w:hint="default"/>
        <w:sz w:val="22"/>
      </w:rPr>
    </w:lvl>
    <w:lvl w:ilvl="1" w:tplc="0C09000F">
      <w:start w:val="1"/>
      <w:numFmt w:val="decimal"/>
      <w:lvlText w:val="%2."/>
      <w:lvlJc w:val="left"/>
      <w:pPr>
        <w:tabs>
          <w:tab w:val="num" w:pos="2154"/>
        </w:tabs>
        <w:ind w:left="2154" w:hanging="360"/>
      </w:pPr>
      <w:rPr>
        <w:rFonts w:hint="default"/>
        <w:sz w:val="22"/>
      </w:rPr>
    </w:lvl>
    <w:lvl w:ilvl="2" w:tplc="0C090005" w:tentative="1">
      <w:start w:val="1"/>
      <w:numFmt w:val="bullet"/>
      <w:lvlText w:val=""/>
      <w:lvlJc w:val="left"/>
      <w:pPr>
        <w:tabs>
          <w:tab w:val="num" w:pos="2874"/>
        </w:tabs>
        <w:ind w:left="2874" w:hanging="360"/>
      </w:pPr>
      <w:rPr>
        <w:rFonts w:ascii="Wingdings" w:hAnsi="Wingdings" w:hint="default"/>
      </w:rPr>
    </w:lvl>
    <w:lvl w:ilvl="3" w:tplc="0C090001" w:tentative="1">
      <w:start w:val="1"/>
      <w:numFmt w:val="bullet"/>
      <w:lvlText w:val=""/>
      <w:lvlJc w:val="left"/>
      <w:pPr>
        <w:tabs>
          <w:tab w:val="num" w:pos="3594"/>
        </w:tabs>
        <w:ind w:left="3594" w:hanging="360"/>
      </w:pPr>
      <w:rPr>
        <w:rFonts w:ascii="Symbol" w:hAnsi="Symbol" w:hint="default"/>
      </w:rPr>
    </w:lvl>
    <w:lvl w:ilvl="4" w:tplc="0C090003" w:tentative="1">
      <w:start w:val="1"/>
      <w:numFmt w:val="bullet"/>
      <w:lvlText w:val="o"/>
      <w:lvlJc w:val="left"/>
      <w:pPr>
        <w:tabs>
          <w:tab w:val="num" w:pos="4314"/>
        </w:tabs>
        <w:ind w:left="4314" w:hanging="360"/>
      </w:pPr>
      <w:rPr>
        <w:rFonts w:ascii="Courier New" w:hAnsi="Courier New" w:cs="Courier New" w:hint="default"/>
      </w:rPr>
    </w:lvl>
    <w:lvl w:ilvl="5" w:tplc="0C090005" w:tentative="1">
      <w:start w:val="1"/>
      <w:numFmt w:val="bullet"/>
      <w:lvlText w:val=""/>
      <w:lvlJc w:val="left"/>
      <w:pPr>
        <w:tabs>
          <w:tab w:val="num" w:pos="5034"/>
        </w:tabs>
        <w:ind w:left="5034" w:hanging="360"/>
      </w:pPr>
      <w:rPr>
        <w:rFonts w:ascii="Wingdings" w:hAnsi="Wingdings" w:hint="default"/>
      </w:rPr>
    </w:lvl>
    <w:lvl w:ilvl="6" w:tplc="0C090001" w:tentative="1">
      <w:start w:val="1"/>
      <w:numFmt w:val="bullet"/>
      <w:lvlText w:val=""/>
      <w:lvlJc w:val="left"/>
      <w:pPr>
        <w:tabs>
          <w:tab w:val="num" w:pos="5754"/>
        </w:tabs>
        <w:ind w:left="5754" w:hanging="360"/>
      </w:pPr>
      <w:rPr>
        <w:rFonts w:ascii="Symbol" w:hAnsi="Symbol" w:hint="default"/>
      </w:rPr>
    </w:lvl>
    <w:lvl w:ilvl="7" w:tplc="0C090003" w:tentative="1">
      <w:start w:val="1"/>
      <w:numFmt w:val="bullet"/>
      <w:lvlText w:val="o"/>
      <w:lvlJc w:val="left"/>
      <w:pPr>
        <w:tabs>
          <w:tab w:val="num" w:pos="6474"/>
        </w:tabs>
        <w:ind w:left="6474" w:hanging="360"/>
      </w:pPr>
      <w:rPr>
        <w:rFonts w:ascii="Courier New" w:hAnsi="Courier New" w:cs="Courier New" w:hint="default"/>
      </w:rPr>
    </w:lvl>
    <w:lvl w:ilvl="8" w:tplc="0C090005"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619A29FB"/>
    <w:multiLevelType w:val="hybridMultilevel"/>
    <w:tmpl w:val="AF1407F6"/>
    <w:lvl w:ilvl="0" w:tplc="04707E3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38C4365"/>
    <w:multiLevelType w:val="hybridMultilevel"/>
    <w:tmpl w:val="54EC3518"/>
    <w:lvl w:ilvl="0" w:tplc="D6643D4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52E74BF"/>
    <w:multiLevelType w:val="multilevel"/>
    <w:tmpl w:val="D862C41C"/>
    <w:lvl w:ilvl="0">
      <w:start w:val="1"/>
      <w:numFmt w:val="decimal"/>
      <w:lvlText w:val="%1."/>
      <w:lvlJc w:val="left"/>
      <w:pPr>
        <w:ind w:left="482" w:hanging="482"/>
      </w:pPr>
      <w:rPr>
        <w:rFonts w:hint="default"/>
      </w:rPr>
    </w:lvl>
    <w:lvl w:ilvl="1">
      <w:start w:val="1"/>
      <w:numFmt w:val="decimal"/>
      <w:lvlText w:val="%2."/>
      <w:lvlJc w:val="left"/>
      <w:pPr>
        <w:ind w:left="646" w:hanging="362"/>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E77DCC"/>
    <w:multiLevelType w:val="hybridMultilevel"/>
    <w:tmpl w:val="845E8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A2702"/>
    <w:multiLevelType w:val="multilevel"/>
    <w:tmpl w:val="3D88DF58"/>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FAA0C04"/>
    <w:multiLevelType w:val="hybridMultilevel"/>
    <w:tmpl w:val="6E949744"/>
    <w:lvl w:ilvl="0" w:tplc="54F8212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08D146A"/>
    <w:multiLevelType w:val="hybridMultilevel"/>
    <w:tmpl w:val="9924747C"/>
    <w:lvl w:ilvl="0" w:tplc="0C090001">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A22D7"/>
    <w:multiLevelType w:val="hybridMultilevel"/>
    <w:tmpl w:val="44142204"/>
    <w:lvl w:ilvl="0" w:tplc="EC621C9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E657BE"/>
    <w:multiLevelType w:val="hybridMultilevel"/>
    <w:tmpl w:val="D4D0E78C"/>
    <w:lvl w:ilvl="0" w:tplc="C3ECADF8">
      <w:start w:val="1"/>
      <w:numFmt w:val="bullet"/>
      <w:lvlText w:val=""/>
      <w:lvlJc w:val="left"/>
      <w:pPr>
        <w:ind w:left="136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BB93994"/>
    <w:multiLevelType w:val="multilevel"/>
    <w:tmpl w:val="6124F60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4"/>
  </w:num>
  <w:num w:numId="3">
    <w:abstractNumId w:val="20"/>
  </w:num>
  <w:num w:numId="4">
    <w:abstractNumId w:val="14"/>
  </w:num>
  <w:num w:numId="5">
    <w:abstractNumId w:val="31"/>
  </w:num>
  <w:num w:numId="6">
    <w:abstractNumId w:val="37"/>
  </w:num>
  <w:num w:numId="7">
    <w:abstractNumId w:val="7"/>
  </w:num>
  <w:num w:numId="8">
    <w:abstractNumId w:val="0"/>
  </w:num>
  <w:num w:numId="9">
    <w:abstractNumId w:val="8"/>
  </w:num>
  <w:num w:numId="10">
    <w:abstractNumId w:val="24"/>
  </w:num>
  <w:num w:numId="11">
    <w:abstractNumId w:val="23"/>
  </w:num>
  <w:num w:numId="12">
    <w:abstractNumId w:val="33"/>
  </w:num>
  <w:num w:numId="13">
    <w:abstractNumId w:val="35"/>
  </w:num>
  <w:num w:numId="14">
    <w:abstractNumId w:val="22"/>
  </w:num>
  <w:num w:numId="15">
    <w:abstractNumId w:val="5"/>
  </w:num>
  <w:num w:numId="16">
    <w:abstractNumId w:val="28"/>
  </w:num>
  <w:num w:numId="17">
    <w:abstractNumId w:val="21"/>
  </w:num>
  <w:num w:numId="18">
    <w:abstractNumId w:val="9"/>
  </w:num>
  <w:num w:numId="19">
    <w:abstractNumId w:val="16"/>
  </w:num>
  <w:num w:numId="20">
    <w:abstractNumId w:val="1"/>
  </w:num>
  <w:num w:numId="21">
    <w:abstractNumId w:val="19"/>
  </w:num>
  <w:num w:numId="22">
    <w:abstractNumId w:val="30"/>
  </w:num>
  <w:num w:numId="23">
    <w:abstractNumId w:val="34"/>
  </w:num>
  <w:num w:numId="24">
    <w:abstractNumId w:val="10"/>
  </w:num>
  <w:num w:numId="25">
    <w:abstractNumId w:val="27"/>
  </w:num>
  <w:num w:numId="26">
    <w:abstractNumId w:val="3"/>
  </w:num>
  <w:num w:numId="27">
    <w:abstractNumId w:val="15"/>
  </w:num>
  <w:num w:numId="28">
    <w:abstractNumId w:val="26"/>
  </w:num>
  <w:num w:numId="29">
    <w:abstractNumId w:val="2"/>
  </w:num>
  <w:num w:numId="30">
    <w:abstractNumId w:val="25"/>
  </w:num>
  <w:num w:numId="31">
    <w:abstractNumId w:val="17"/>
  </w:num>
  <w:num w:numId="32">
    <w:abstractNumId w:val="32"/>
  </w:num>
  <w:num w:numId="33">
    <w:abstractNumId w:val="11"/>
  </w:num>
  <w:num w:numId="34">
    <w:abstractNumId w:val="36"/>
  </w:num>
  <w:num w:numId="35">
    <w:abstractNumId w:val="12"/>
  </w:num>
  <w:num w:numId="36">
    <w:abstractNumId w:val="18"/>
  </w:num>
  <w:num w:numId="37">
    <w:abstractNumId w:val="29"/>
  </w:num>
  <w:num w:numId="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9C"/>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581"/>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27821"/>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110F"/>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4104"/>
    <w:rsid w:val="0020536F"/>
    <w:rsid w:val="002056E6"/>
    <w:rsid w:val="00205967"/>
    <w:rsid w:val="0020637E"/>
    <w:rsid w:val="0021215B"/>
    <w:rsid w:val="002140B9"/>
    <w:rsid w:val="002203A6"/>
    <w:rsid w:val="00224456"/>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C18"/>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752"/>
    <w:rsid w:val="00335E8D"/>
    <w:rsid w:val="003434D6"/>
    <w:rsid w:val="00343A95"/>
    <w:rsid w:val="0034438C"/>
    <w:rsid w:val="00344A78"/>
    <w:rsid w:val="00344BC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3F62"/>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158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93F"/>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D7BCE"/>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37B14"/>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53F5"/>
    <w:rsid w:val="00696638"/>
    <w:rsid w:val="00696E82"/>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592D"/>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FA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37FB"/>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B1D"/>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62D"/>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5F0"/>
    <w:rsid w:val="00881E63"/>
    <w:rsid w:val="008827DB"/>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0D8D"/>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11D2"/>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12D49"/>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283"/>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5E6"/>
    <w:rsid w:val="00BD677F"/>
    <w:rsid w:val="00BD7FF5"/>
    <w:rsid w:val="00BE09D3"/>
    <w:rsid w:val="00BE0EEA"/>
    <w:rsid w:val="00BE1119"/>
    <w:rsid w:val="00BE39B7"/>
    <w:rsid w:val="00BE4867"/>
    <w:rsid w:val="00BE5274"/>
    <w:rsid w:val="00BE5830"/>
    <w:rsid w:val="00BE754D"/>
    <w:rsid w:val="00BE782B"/>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29B"/>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313A"/>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17B8"/>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67E"/>
    <w:rsid w:val="00CF0C27"/>
    <w:rsid w:val="00CF10FC"/>
    <w:rsid w:val="00CF1E63"/>
    <w:rsid w:val="00CF2166"/>
    <w:rsid w:val="00CF2B6C"/>
    <w:rsid w:val="00CF3C8D"/>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6FFC"/>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6115"/>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3FC"/>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4B3"/>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81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204104"/>
    <w:pPr>
      <w:suppressAutoHyphens/>
      <w:spacing w:before="200" w:after="200"/>
      <w:ind w:left="0"/>
      <w:jc w:val="both"/>
      <w:outlineLvl w:val="1"/>
    </w:pPr>
    <w:rPr>
      <w:rFonts w:cs="Arial"/>
      <w:b/>
      <w:sz w:val="24"/>
    </w:rPr>
  </w:style>
  <w:style w:type="paragraph" w:styleId="Heading3">
    <w:name w:val="heading 3"/>
    <w:basedOn w:val="Normal"/>
    <w:next w:val="Normal"/>
    <w:qFormat/>
    <w:rsid w:val="00691EEB"/>
    <w:pPr>
      <w:tabs>
        <w:tab w:val="left" w:pos="567"/>
      </w:tabs>
      <w:suppressAutoHyphens/>
      <w:spacing w:after="120"/>
      <w:jc w:val="both"/>
      <w:outlineLvl w:val="2"/>
    </w:pPr>
    <w:rPr>
      <w:rFonts w:cs="Arial"/>
      <w:b/>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7899-9F29-4119-A63A-5F76DDB7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983</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Clients for whom the Offence Leading to the Forensic Order is a Prescribed Offence</vt:lpstr>
    </vt:vector>
  </TitlesOfParts>
  <Manager/>
  <Company>Queensland Government</Company>
  <LinksUpToDate>false</LinksUpToDate>
  <CharactersWithSpaces>6393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Clients for whom the Offence Leading to the Forensic Order is a Prescribed Offence</dc:title>
  <dc:subject>Clients for whom the Offence Leading to the Forensic Order is a Prescribed Offence Procedure</dc:subject>
  <dc:creator>Director of Forensic Disability</dc:creator>
  <cp:keywords>operational; procedure; forensic; disability; client; offence; leading; order; prescribed;</cp:keywords>
  <cp:lastModifiedBy>Murray Rieck</cp:lastModifiedBy>
  <cp:revision>3</cp:revision>
  <cp:lastPrinted>2022-12-23T01:27:00Z</cp:lastPrinted>
  <dcterms:created xsi:type="dcterms:W3CDTF">2022-12-21T05:56:00Z</dcterms:created>
  <dcterms:modified xsi:type="dcterms:W3CDTF">2022-12-23T01:27:00Z</dcterms:modified>
  <cp:category>Clients for whom the Offence Leading to the Forensic Order is a Prescribed Offence Procedure</cp:category>
</cp:coreProperties>
</file>