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3B83" w14:textId="77777777" w:rsidR="00930A78" w:rsidRPr="00DE7318" w:rsidRDefault="00930A78" w:rsidP="00930A78">
      <w:pPr>
        <w:pStyle w:val="Heading1"/>
        <w:jc w:val="center"/>
        <w:rPr>
          <w:szCs w:val="48"/>
        </w:rPr>
      </w:pPr>
      <w:r w:rsidRPr="00DE7318">
        <w:rPr>
          <w:szCs w:val="48"/>
        </w:rPr>
        <w:t>Director of Forensic Disability</w:t>
      </w:r>
    </w:p>
    <w:p w14:paraId="318FD5E6" w14:textId="77777777" w:rsidR="00930A78" w:rsidRPr="00DE7318" w:rsidRDefault="00930A78" w:rsidP="00930A78">
      <w:pPr>
        <w:pStyle w:val="Heading1"/>
        <w:jc w:val="center"/>
        <w:rPr>
          <w:szCs w:val="48"/>
        </w:rPr>
      </w:pPr>
      <w:r w:rsidRPr="00DE7318">
        <w:rPr>
          <w:szCs w:val="48"/>
        </w:rPr>
        <w:t>POLICY</w:t>
      </w:r>
    </w:p>
    <w:p w14:paraId="760DB311" w14:textId="77777777" w:rsidR="00930A78" w:rsidRPr="00EE46E8" w:rsidRDefault="00930A78" w:rsidP="00930A78">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Pr>
          <w:b w:val="0"/>
          <w:sz w:val="36"/>
          <w:szCs w:val="36"/>
        </w:rPr>
        <w:t>Community Treatment and Other Leave</w:t>
      </w:r>
    </w:p>
    <w:p w14:paraId="069B7D34" w14:textId="77777777" w:rsidR="00D95A67" w:rsidRPr="00BF770B" w:rsidRDefault="00D95A67" w:rsidP="00F64F38">
      <w:pPr>
        <w:pStyle w:val="Heading2"/>
        <w:numPr>
          <w:ilvl w:val="1"/>
          <w:numId w:val="14"/>
        </w:numPr>
      </w:pPr>
      <w:r w:rsidRPr="00BF770B">
        <w:t>Policy Statement</w:t>
      </w:r>
    </w:p>
    <w:p w14:paraId="161EE845" w14:textId="77777777" w:rsidR="00BE754D" w:rsidRDefault="00BE754D" w:rsidP="009631C0">
      <w:pPr>
        <w:jc w:val="both"/>
        <w:rPr>
          <w:rFonts w:eastAsia="Arial"/>
          <w:lang w:val="en-US" w:eastAsia="en-US"/>
        </w:rPr>
      </w:pPr>
      <w:r>
        <w:rPr>
          <w:rFonts w:eastAsia="Arial"/>
          <w:lang w:val="en-US" w:eastAsia="en-US"/>
        </w:rPr>
        <w:t xml:space="preserve">Access to treatment in the community and other approved temporary leave under the </w:t>
      </w:r>
      <w:r>
        <w:rPr>
          <w:rFonts w:eastAsia="Arial"/>
          <w:i/>
          <w:lang w:val="en-US" w:eastAsia="en-US"/>
        </w:rPr>
        <w:t>Forensic Disability Act 2011</w:t>
      </w:r>
      <w:r>
        <w:rPr>
          <w:rFonts w:eastAsia="Arial"/>
          <w:lang w:val="en-US" w:eastAsia="en-US"/>
        </w:rPr>
        <w:t xml:space="preserve"> (the Act) promotes the individual development, rehabilitation and transition to the community of forensic disability clients.</w:t>
      </w:r>
    </w:p>
    <w:p w14:paraId="3AC15145" w14:textId="0C55D136" w:rsidR="00BE754D" w:rsidRDefault="00BE754D" w:rsidP="009631C0">
      <w:pPr>
        <w:jc w:val="both"/>
        <w:rPr>
          <w:rFonts w:eastAsia="Arial"/>
          <w:lang w:val="en-US" w:eastAsia="en-US"/>
        </w:rPr>
      </w:pPr>
      <w:r>
        <w:rPr>
          <w:rFonts w:eastAsia="Arial"/>
          <w:lang w:val="en-US" w:eastAsia="en-US"/>
        </w:rPr>
        <w:t>L</w:t>
      </w:r>
      <w:r w:rsidRPr="000B0B1E">
        <w:rPr>
          <w:rFonts w:eastAsia="Arial"/>
          <w:lang w:val="en-US" w:eastAsia="en-US"/>
        </w:rPr>
        <w:t xml:space="preserve">imited </w:t>
      </w:r>
      <w:r>
        <w:rPr>
          <w:rFonts w:eastAsia="Arial"/>
          <w:lang w:val="en-US" w:eastAsia="en-US"/>
        </w:rPr>
        <w:t>C</w:t>
      </w:r>
      <w:r w:rsidRPr="000B0B1E">
        <w:rPr>
          <w:rFonts w:eastAsia="Arial"/>
          <w:lang w:val="en-US" w:eastAsia="en-US"/>
        </w:rPr>
        <w:t xml:space="preserve">ommunity </w:t>
      </w:r>
      <w:r>
        <w:rPr>
          <w:rFonts w:eastAsia="Arial"/>
          <w:lang w:val="en-US" w:eastAsia="en-US"/>
        </w:rPr>
        <w:t>T</w:t>
      </w:r>
      <w:r w:rsidRPr="000B0B1E">
        <w:rPr>
          <w:rFonts w:eastAsia="Arial"/>
          <w:lang w:val="en-US" w:eastAsia="en-US"/>
        </w:rPr>
        <w:t>reatment (LCT) under the Act</w:t>
      </w:r>
      <w:r>
        <w:rPr>
          <w:rFonts w:eastAsia="Arial"/>
          <w:lang w:val="en-US" w:eastAsia="en-US"/>
        </w:rPr>
        <w:t xml:space="preserve"> is treatment in the community for forensic disability clients on a forensic order (disability). The purpose of LCT</w:t>
      </w:r>
      <w:r w:rsidR="001F5730">
        <w:rPr>
          <w:rFonts w:eastAsia="Arial"/>
          <w:lang w:val="en-US" w:eastAsia="en-US"/>
        </w:rPr>
        <w:t xml:space="preserve"> </w:t>
      </w:r>
      <w:r>
        <w:rPr>
          <w:rFonts w:eastAsia="Arial"/>
          <w:lang w:val="en-US" w:eastAsia="en-US"/>
        </w:rPr>
        <w:t>is to support the client’s rehabilitation by transitioning the client to living in the community with appropriate care and support</w:t>
      </w:r>
      <w:r w:rsidR="001F5730">
        <w:rPr>
          <w:rFonts w:eastAsia="Arial"/>
          <w:lang w:val="en-US" w:eastAsia="en-US"/>
        </w:rPr>
        <w:t>.</w:t>
      </w:r>
      <w:r>
        <w:rPr>
          <w:rFonts w:eastAsia="Arial"/>
          <w:lang w:val="en-US" w:eastAsia="en-US"/>
        </w:rPr>
        <w:t xml:space="preserve"> </w:t>
      </w:r>
    </w:p>
    <w:p w14:paraId="2557925E" w14:textId="7DB8771C" w:rsidR="00BE754D" w:rsidRPr="00CB2C69" w:rsidRDefault="00BE754D" w:rsidP="009631C0">
      <w:pPr>
        <w:jc w:val="both"/>
        <w:rPr>
          <w:rFonts w:eastAsia="Arial"/>
          <w:lang w:eastAsia="en-US"/>
        </w:rPr>
      </w:pPr>
      <w:r>
        <w:rPr>
          <w:rFonts w:eastAsia="Arial"/>
          <w:lang w:eastAsia="en-US"/>
        </w:rPr>
        <w:t>A forensic disability client may be granted temporary absence from the Forensic Disability Service (FDS)</w:t>
      </w:r>
      <w:r w:rsidRPr="00CB2C69">
        <w:rPr>
          <w:rFonts w:eastAsia="Arial"/>
          <w:lang w:eastAsia="en-US"/>
        </w:rPr>
        <w:t xml:space="preserve"> under</w:t>
      </w:r>
      <w:r>
        <w:rPr>
          <w:rFonts w:eastAsia="Arial"/>
          <w:lang w:eastAsia="en-US"/>
        </w:rPr>
        <w:t xml:space="preserve"> </w:t>
      </w:r>
      <w:r w:rsidRPr="00CB2C69">
        <w:rPr>
          <w:rFonts w:eastAsia="Arial"/>
          <w:lang w:eastAsia="en-US"/>
        </w:rPr>
        <w:t>section 32A</w:t>
      </w:r>
      <w:r w:rsidR="001F5730">
        <w:rPr>
          <w:rFonts w:eastAsia="Arial"/>
          <w:lang w:eastAsia="en-US"/>
        </w:rPr>
        <w:t xml:space="preserve"> of the Act</w:t>
      </w:r>
      <w:r w:rsidRPr="00CB2C69">
        <w:rPr>
          <w:rFonts w:eastAsia="Arial"/>
          <w:lang w:eastAsia="en-US"/>
        </w:rPr>
        <w:t xml:space="preserve"> at the discretion of the Director of Forensic Disability</w:t>
      </w:r>
      <w:r>
        <w:rPr>
          <w:rFonts w:eastAsia="Arial"/>
          <w:lang w:eastAsia="en-US"/>
        </w:rPr>
        <w:t>. This absence may be approved</w:t>
      </w:r>
      <w:r w:rsidRPr="00CB2C69">
        <w:rPr>
          <w:rFonts w:eastAsia="Arial"/>
          <w:lang w:eastAsia="en-US"/>
        </w:rPr>
        <w:t xml:space="preserve"> to </w:t>
      </w:r>
      <w:r w:rsidRPr="00CB2C69">
        <w:rPr>
          <w:rFonts w:eastAsia="Arial"/>
          <w:lang w:val="en-US" w:eastAsia="en-US"/>
        </w:rPr>
        <w:t>meet health and legal requirements or as considered appropriate on compassionate grounds.</w:t>
      </w:r>
    </w:p>
    <w:p w14:paraId="2B96F2DF" w14:textId="77777777" w:rsidR="00D95A67" w:rsidRDefault="00D95A67" w:rsidP="009631C0">
      <w:pPr>
        <w:pStyle w:val="Heading2"/>
        <w:numPr>
          <w:ilvl w:val="1"/>
          <w:numId w:val="14"/>
        </w:numPr>
      </w:pPr>
      <w:r>
        <w:t>Purpose</w:t>
      </w:r>
    </w:p>
    <w:p w14:paraId="58F01CDE" w14:textId="77777777" w:rsidR="00BE754D" w:rsidRDefault="00BE754D" w:rsidP="009631C0">
      <w:pPr>
        <w:jc w:val="both"/>
        <w:rPr>
          <w:rFonts w:eastAsia="Arial"/>
          <w:lang w:val="en-US" w:eastAsia="en-US"/>
        </w:rPr>
      </w:pPr>
      <w:r>
        <w:rPr>
          <w:rFonts w:eastAsia="Arial"/>
          <w:lang w:val="en-US" w:eastAsia="en-US"/>
        </w:rPr>
        <w:t>This policy outlines the relevant provisions of the Act, and the Director of Forensic Disability Policy regarding LCT and other leave.</w:t>
      </w:r>
    </w:p>
    <w:p w14:paraId="0E9051E9" w14:textId="77777777" w:rsidR="00BE754D" w:rsidRDefault="00BE754D" w:rsidP="009631C0">
      <w:pPr>
        <w:tabs>
          <w:tab w:val="left" w:pos="567"/>
        </w:tabs>
        <w:jc w:val="both"/>
        <w:rPr>
          <w:rFonts w:eastAsia="Arial"/>
          <w:lang w:val="en-US" w:eastAsia="en-US"/>
        </w:rPr>
      </w:pPr>
      <w:r>
        <w:rPr>
          <w:rFonts w:eastAsia="Arial"/>
          <w:lang w:val="en-US" w:eastAsia="en-US"/>
        </w:rPr>
        <w:t>This policy ensures forensic disability clients are able to a</w:t>
      </w:r>
      <w:r w:rsidRPr="000C5E91">
        <w:rPr>
          <w:rFonts w:eastAsia="Arial"/>
          <w:lang w:val="en-US" w:eastAsia="en-US"/>
        </w:rPr>
        <w:t>ccess</w:t>
      </w:r>
      <w:r>
        <w:rPr>
          <w:rFonts w:eastAsia="Arial"/>
          <w:lang w:val="en-US" w:eastAsia="en-US"/>
        </w:rPr>
        <w:t xml:space="preserve"> community treatment </w:t>
      </w:r>
      <w:r w:rsidRPr="000C5E91">
        <w:rPr>
          <w:rFonts w:eastAsia="Arial"/>
          <w:lang w:val="en-US" w:eastAsia="en-US"/>
        </w:rPr>
        <w:t xml:space="preserve">to attend programs and activities that assist </w:t>
      </w:r>
      <w:r>
        <w:rPr>
          <w:rFonts w:eastAsia="Arial"/>
          <w:lang w:val="en-US" w:eastAsia="en-US"/>
        </w:rPr>
        <w:t xml:space="preserve">with their rehabilitation and habilitation (including </w:t>
      </w:r>
      <w:r w:rsidRPr="000C5E91">
        <w:rPr>
          <w:rFonts w:eastAsia="Arial"/>
          <w:lang w:val="en-US" w:eastAsia="en-US"/>
        </w:rPr>
        <w:t>vocational, communication, social, practical and life skills</w:t>
      </w:r>
      <w:r>
        <w:rPr>
          <w:rFonts w:eastAsia="Arial"/>
          <w:lang w:val="en-US" w:eastAsia="en-US"/>
        </w:rPr>
        <w:t>),</w:t>
      </w:r>
      <w:r w:rsidRPr="000C5E91">
        <w:rPr>
          <w:rFonts w:eastAsia="Arial"/>
          <w:lang w:val="en-US" w:eastAsia="en-US"/>
        </w:rPr>
        <w:t xml:space="preserve"> encourage positive behaviour and promote opportunities for participation and inclusion in the community</w:t>
      </w:r>
      <w:r>
        <w:rPr>
          <w:rFonts w:eastAsia="Arial"/>
          <w:lang w:val="en-US" w:eastAsia="en-US"/>
        </w:rPr>
        <w:t>.</w:t>
      </w:r>
    </w:p>
    <w:p w14:paraId="51A30247" w14:textId="77777777" w:rsidR="00BE754D" w:rsidRPr="00157F67" w:rsidRDefault="00BE754D" w:rsidP="009631C0">
      <w:pPr>
        <w:tabs>
          <w:tab w:val="left" w:pos="567"/>
        </w:tabs>
        <w:jc w:val="both"/>
        <w:rPr>
          <w:rFonts w:eastAsia="Arial"/>
          <w:lang w:val="en-US" w:eastAsia="en-US"/>
        </w:rPr>
      </w:pPr>
      <w:r>
        <w:rPr>
          <w:rFonts w:eastAsia="Arial"/>
          <w:lang w:val="en-US" w:eastAsia="en-US"/>
        </w:rPr>
        <w:t xml:space="preserve">Furthermore the policy ensures clients are able to </w:t>
      </w:r>
      <w:r w:rsidRPr="00157F67">
        <w:rPr>
          <w:rFonts w:eastAsia="Arial"/>
          <w:lang w:val="en-US" w:eastAsia="en-US"/>
        </w:rPr>
        <w:t xml:space="preserve">access </w:t>
      </w:r>
      <w:r>
        <w:rPr>
          <w:rFonts w:eastAsia="Arial"/>
          <w:lang w:val="en-US" w:eastAsia="en-US"/>
        </w:rPr>
        <w:t>t</w:t>
      </w:r>
      <w:r w:rsidRPr="00157F67">
        <w:rPr>
          <w:rFonts w:eastAsia="Arial"/>
          <w:lang w:val="en-US" w:eastAsia="en-US"/>
        </w:rPr>
        <w:t xml:space="preserve">emporary </w:t>
      </w:r>
      <w:r>
        <w:rPr>
          <w:rFonts w:eastAsia="Arial"/>
          <w:lang w:val="en-US" w:eastAsia="en-US"/>
        </w:rPr>
        <w:t>l</w:t>
      </w:r>
      <w:r w:rsidRPr="00157F67">
        <w:rPr>
          <w:rFonts w:eastAsia="Arial"/>
          <w:lang w:val="en-US" w:eastAsia="en-US"/>
        </w:rPr>
        <w:t>eave to:</w:t>
      </w:r>
    </w:p>
    <w:p w14:paraId="759B4531" w14:textId="77777777" w:rsidR="00BE754D" w:rsidRPr="00930A78" w:rsidRDefault="00BE754D" w:rsidP="009631C0">
      <w:pPr>
        <w:pStyle w:val="ListParagraph"/>
        <w:numPr>
          <w:ilvl w:val="0"/>
          <w:numId w:val="31"/>
        </w:numPr>
        <w:jc w:val="both"/>
        <w:rPr>
          <w:rFonts w:ascii="Arial" w:eastAsia="Calibri" w:hAnsi="Arial" w:cs="Arial"/>
          <w:sz w:val="22"/>
          <w:szCs w:val="22"/>
        </w:rPr>
      </w:pPr>
      <w:r w:rsidRPr="00930A78">
        <w:rPr>
          <w:rFonts w:ascii="Arial" w:hAnsi="Arial" w:cs="Arial"/>
          <w:sz w:val="22"/>
          <w:szCs w:val="22"/>
        </w:rPr>
        <w:t xml:space="preserve">receive medical, dental or optical treatment; </w:t>
      </w:r>
    </w:p>
    <w:p w14:paraId="60BA5C1D" w14:textId="77777777" w:rsidR="00BE754D" w:rsidRPr="00930A78" w:rsidRDefault="00BE754D" w:rsidP="009631C0">
      <w:pPr>
        <w:pStyle w:val="ListParagraph"/>
        <w:numPr>
          <w:ilvl w:val="0"/>
          <w:numId w:val="31"/>
        </w:numPr>
        <w:jc w:val="both"/>
        <w:rPr>
          <w:rFonts w:ascii="Arial" w:eastAsia="Calibri" w:hAnsi="Arial" w:cs="Arial"/>
          <w:sz w:val="22"/>
          <w:szCs w:val="22"/>
        </w:rPr>
      </w:pPr>
      <w:r w:rsidRPr="00930A78">
        <w:rPr>
          <w:rFonts w:ascii="Arial" w:hAnsi="Arial" w:cs="Arial"/>
          <w:sz w:val="22"/>
          <w:szCs w:val="22"/>
        </w:rPr>
        <w:t>appear before a court, tribunal or other body; and</w:t>
      </w:r>
    </w:p>
    <w:p w14:paraId="686CB35A" w14:textId="77777777" w:rsidR="00BE754D" w:rsidRPr="00136B6D" w:rsidRDefault="00BE754D" w:rsidP="009631C0">
      <w:pPr>
        <w:pStyle w:val="ListParagraph"/>
        <w:numPr>
          <w:ilvl w:val="0"/>
          <w:numId w:val="31"/>
        </w:numPr>
        <w:jc w:val="both"/>
        <w:rPr>
          <w:rFonts w:ascii="Arial" w:eastAsia="Calibri" w:hAnsi="Arial" w:cs="Arial"/>
          <w:sz w:val="22"/>
          <w:szCs w:val="22"/>
        </w:rPr>
      </w:pPr>
      <w:r w:rsidRPr="00930A78">
        <w:rPr>
          <w:rFonts w:ascii="Arial" w:hAnsi="Arial" w:cs="Arial"/>
          <w:sz w:val="22"/>
          <w:szCs w:val="22"/>
        </w:rPr>
        <w:t xml:space="preserve">access other leave that the Director of Forensic Disability considers appropriate on compassionate grounds. </w:t>
      </w:r>
    </w:p>
    <w:p w14:paraId="2D297656" w14:textId="77777777" w:rsidR="00136B6D" w:rsidRDefault="00136B6D">
      <w:pPr>
        <w:spacing w:after="0"/>
        <w:rPr>
          <w:rFonts w:eastAsia="MS Mincho" w:cs="Arial"/>
          <w:szCs w:val="22"/>
          <w:lang w:val="en-US" w:eastAsia="en-US"/>
        </w:rPr>
      </w:pPr>
      <w:r>
        <w:rPr>
          <w:rFonts w:cs="Arial"/>
          <w:szCs w:val="22"/>
        </w:rPr>
        <w:br w:type="page"/>
      </w:r>
    </w:p>
    <w:p w14:paraId="2AAD97A3" w14:textId="77777777" w:rsidR="00D95A67" w:rsidRPr="00B20C57" w:rsidRDefault="00D95A67" w:rsidP="00F64F38">
      <w:pPr>
        <w:pStyle w:val="Heading2"/>
        <w:numPr>
          <w:ilvl w:val="1"/>
          <w:numId w:val="14"/>
        </w:numPr>
      </w:pPr>
      <w:r w:rsidRPr="00B20C57">
        <w:lastRenderedPageBreak/>
        <w:t>Scope</w:t>
      </w:r>
    </w:p>
    <w:p w14:paraId="609F0C40" w14:textId="4704EAC3" w:rsidR="00BE754D" w:rsidRDefault="00BE754D" w:rsidP="00F64F38">
      <w:pPr>
        <w:jc w:val="both"/>
        <w:rPr>
          <w:rFonts w:eastAsia="Arial"/>
          <w:lang w:val="en-US" w:eastAsia="en-US"/>
        </w:rPr>
      </w:pPr>
      <w:r w:rsidRPr="00835F7C">
        <w:rPr>
          <w:rFonts w:eastAsia="Arial"/>
          <w:lang w:val="en-US" w:eastAsia="en-US"/>
        </w:rPr>
        <w:t xml:space="preserve">This policy applies </w:t>
      </w:r>
      <w:r>
        <w:rPr>
          <w:rFonts w:eastAsia="Arial"/>
          <w:lang w:val="en-US" w:eastAsia="en-US"/>
        </w:rPr>
        <w:t xml:space="preserve">to </w:t>
      </w:r>
      <w:r w:rsidRPr="00835F7C">
        <w:rPr>
          <w:rFonts w:eastAsia="Arial"/>
          <w:lang w:val="en-US" w:eastAsia="en-US"/>
        </w:rPr>
        <w:t xml:space="preserve">forensic disability clients </w:t>
      </w:r>
      <w:r w:rsidR="001D08F7">
        <w:rPr>
          <w:rFonts w:eastAsia="Arial"/>
          <w:lang w:val="en-US" w:eastAsia="en-US"/>
        </w:rPr>
        <w:t>who are inpatient</w:t>
      </w:r>
      <w:r w:rsidR="00094B28">
        <w:rPr>
          <w:rFonts w:eastAsia="Arial"/>
          <w:lang w:val="en-US" w:eastAsia="en-US"/>
        </w:rPr>
        <w:t>s</w:t>
      </w:r>
      <w:r w:rsidR="001D08F7">
        <w:rPr>
          <w:rFonts w:eastAsia="Arial"/>
          <w:lang w:val="en-US" w:eastAsia="en-US"/>
        </w:rPr>
        <w:t xml:space="preserve"> </w:t>
      </w:r>
      <w:r w:rsidR="00094B28">
        <w:rPr>
          <w:rFonts w:eastAsia="Arial"/>
          <w:lang w:val="en-US" w:eastAsia="en-US"/>
        </w:rPr>
        <w:t>of</w:t>
      </w:r>
      <w:r w:rsidR="001D08F7">
        <w:rPr>
          <w:rFonts w:eastAsia="Arial"/>
          <w:lang w:val="en-US" w:eastAsia="en-US"/>
        </w:rPr>
        <w:t xml:space="preserve"> </w:t>
      </w:r>
      <w:r>
        <w:rPr>
          <w:rFonts w:eastAsia="Arial"/>
          <w:lang w:val="en-US" w:eastAsia="en-US"/>
        </w:rPr>
        <w:t>the Forensic Disability Service. It does not apply to forensic disability clients subject to a forensic order (disability) where the category of the order is community</w:t>
      </w:r>
      <w:r w:rsidRPr="00022687">
        <w:rPr>
          <w:rFonts w:eastAsia="Arial"/>
          <w:lang w:val="en-US" w:eastAsia="en-US"/>
        </w:rPr>
        <w:t>.</w:t>
      </w:r>
      <w:r w:rsidRPr="00920C4B">
        <w:rPr>
          <w:rFonts w:eastAsia="Arial"/>
          <w:lang w:val="en-US" w:eastAsia="en-US"/>
        </w:rPr>
        <w:t xml:space="preserve"> </w:t>
      </w:r>
    </w:p>
    <w:p w14:paraId="50A5CA64" w14:textId="77777777" w:rsidR="00BE754D" w:rsidRDefault="00BE754D" w:rsidP="00F64F38">
      <w:pPr>
        <w:jc w:val="both"/>
        <w:rPr>
          <w:rFonts w:eastAsia="Arial"/>
          <w:lang w:val="en-US" w:eastAsia="en-US"/>
        </w:rPr>
      </w:pPr>
      <w:r>
        <w:rPr>
          <w:rFonts w:eastAsia="Arial"/>
          <w:lang w:val="en-US" w:eastAsia="en-US"/>
        </w:rPr>
        <w:t>This policy must be implemented in a way that is consistent with the purposes and principles of the Act.</w:t>
      </w:r>
    </w:p>
    <w:p w14:paraId="035241B0" w14:textId="77777777" w:rsidR="00D95A67" w:rsidRPr="00D95A67" w:rsidRDefault="00D95A67" w:rsidP="00F64F38">
      <w:pPr>
        <w:pStyle w:val="Heading2"/>
        <w:numPr>
          <w:ilvl w:val="1"/>
          <w:numId w:val="14"/>
        </w:numPr>
      </w:pPr>
      <w:r w:rsidRPr="00D95A67">
        <w:t>Authorising Legislation</w:t>
      </w:r>
    </w:p>
    <w:p w14:paraId="05AEAADF" w14:textId="50ADB121" w:rsidR="00BE754D" w:rsidRPr="001105F0" w:rsidRDefault="00094B28" w:rsidP="00F64F38">
      <w:pPr>
        <w:keepNext/>
        <w:keepLines/>
        <w:jc w:val="both"/>
        <w:rPr>
          <w:position w:val="3"/>
          <w:u w:val="single"/>
          <w:lang w:eastAsia="x-none"/>
        </w:rPr>
      </w:pPr>
      <w:r w:rsidRPr="0096478E">
        <w:rPr>
          <w:iCs/>
          <w:position w:val="3"/>
          <w:lang w:eastAsia="x-none"/>
        </w:rPr>
        <w:t>Section 91 of the Act.</w:t>
      </w:r>
    </w:p>
    <w:p w14:paraId="18DDEDC1" w14:textId="77777777" w:rsidR="00D95A67" w:rsidRDefault="00BE754D" w:rsidP="00F64F38">
      <w:pPr>
        <w:pStyle w:val="Heading2"/>
        <w:numPr>
          <w:ilvl w:val="1"/>
          <w:numId w:val="14"/>
        </w:numPr>
      </w:pPr>
      <w:r w:rsidRPr="00BE754D">
        <w:t>Background</w:t>
      </w:r>
      <w:r w:rsidR="00D95A67" w:rsidRPr="00BE754D">
        <w:t xml:space="preserve"> </w:t>
      </w:r>
    </w:p>
    <w:p w14:paraId="14F6CD30" w14:textId="6D4C4D62" w:rsidR="00BE754D" w:rsidRDefault="00094B28" w:rsidP="00F64F38">
      <w:pPr>
        <w:jc w:val="both"/>
        <w:rPr>
          <w:rFonts w:eastAsia="Arial"/>
          <w:lang w:val="en-US" w:eastAsia="en-US"/>
        </w:rPr>
      </w:pPr>
      <w:r>
        <w:rPr>
          <w:rFonts w:eastAsia="Arial"/>
          <w:lang w:val="en-US" w:eastAsia="en-US"/>
        </w:rPr>
        <w:t xml:space="preserve">If </w:t>
      </w:r>
      <w:r w:rsidR="00BE754D">
        <w:rPr>
          <w:rFonts w:eastAsia="Arial"/>
          <w:lang w:val="en-US" w:eastAsia="en-US"/>
        </w:rPr>
        <w:t>a client is subject to a</w:t>
      </w:r>
      <w:r w:rsidR="00BE754D" w:rsidRPr="007B2A05">
        <w:rPr>
          <w:rFonts w:eastAsia="Arial"/>
          <w:lang w:val="en-US" w:eastAsia="en-US"/>
        </w:rPr>
        <w:t xml:space="preserve"> forensic orde</w:t>
      </w:r>
      <w:r w:rsidR="00BE754D">
        <w:rPr>
          <w:rFonts w:eastAsia="Arial"/>
          <w:lang w:val="en-US" w:eastAsia="en-US"/>
        </w:rPr>
        <w:t xml:space="preserve">r, </w:t>
      </w:r>
      <w:r w:rsidR="00BE754D" w:rsidRPr="007B2A05">
        <w:rPr>
          <w:rFonts w:eastAsia="Arial"/>
          <w:lang w:val="en-US" w:eastAsia="en-US"/>
        </w:rPr>
        <w:t xml:space="preserve">the Mental Health Court (MHC) or the Mental Health </w:t>
      </w:r>
      <w:r w:rsidR="00BE754D">
        <w:rPr>
          <w:rFonts w:eastAsia="Arial"/>
          <w:lang w:val="en-US" w:eastAsia="en-US"/>
        </w:rPr>
        <w:t xml:space="preserve">Review </w:t>
      </w:r>
      <w:r w:rsidR="00BE754D" w:rsidRPr="007B2A05">
        <w:rPr>
          <w:rFonts w:eastAsia="Arial"/>
          <w:lang w:val="en-US" w:eastAsia="en-US"/>
        </w:rPr>
        <w:t xml:space="preserve">Tribunal (MHRT) may order, approve or revoke LCT </w:t>
      </w:r>
      <w:r w:rsidR="00554175">
        <w:rPr>
          <w:rFonts w:eastAsia="Arial"/>
          <w:lang w:val="en-US" w:eastAsia="en-US"/>
        </w:rPr>
        <w:t xml:space="preserve">in accordance with conditions the MHC or MHRT considers appropriate. </w:t>
      </w:r>
      <w:r w:rsidR="00BE754D" w:rsidRPr="007B2A05">
        <w:rPr>
          <w:rFonts w:eastAsia="Arial"/>
          <w:lang w:val="en-US" w:eastAsia="en-US"/>
        </w:rPr>
        <w:t xml:space="preserve">A </w:t>
      </w:r>
      <w:r w:rsidR="00BE754D">
        <w:rPr>
          <w:rFonts w:eastAsia="Arial"/>
          <w:lang w:val="en-US" w:eastAsia="en-US"/>
        </w:rPr>
        <w:t>Senior Practitioner, under section </w:t>
      </w:r>
      <w:r w:rsidR="00BE754D" w:rsidRPr="007B2A05">
        <w:rPr>
          <w:rFonts w:eastAsia="Arial"/>
          <w:lang w:val="en-US" w:eastAsia="en-US"/>
        </w:rPr>
        <w:t>20 of the Act, may authorise LCT only if the MHC or the MHRT has approved the</w:t>
      </w:r>
      <w:r w:rsidR="00554175">
        <w:rPr>
          <w:rFonts w:eastAsia="Arial"/>
          <w:lang w:val="en-US" w:eastAsia="en-US"/>
        </w:rPr>
        <w:t xml:space="preserve"> use of</w:t>
      </w:r>
      <w:r w:rsidR="00BE754D" w:rsidRPr="007B2A05">
        <w:rPr>
          <w:rFonts w:eastAsia="Arial"/>
          <w:lang w:val="en-US" w:eastAsia="en-US"/>
        </w:rPr>
        <w:t xml:space="preserve"> LCT</w:t>
      </w:r>
      <w:r w:rsidR="00554175">
        <w:rPr>
          <w:rFonts w:eastAsia="Arial"/>
          <w:lang w:val="en-US" w:eastAsia="en-US"/>
        </w:rPr>
        <w:t xml:space="preserve"> and only within the parameters set by the MHC or MHRT</w:t>
      </w:r>
      <w:r w:rsidR="00BE754D" w:rsidRPr="007B2A05">
        <w:rPr>
          <w:rFonts w:eastAsia="Arial"/>
          <w:lang w:val="en-US" w:eastAsia="en-US"/>
        </w:rPr>
        <w:t>.</w:t>
      </w:r>
    </w:p>
    <w:p w14:paraId="5B2A6AFD" w14:textId="77777777" w:rsidR="00BE754D" w:rsidRPr="007B2A05" w:rsidRDefault="00BE754D" w:rsidP="00F64F38">
      <w:pPr>
        <w:jc w:val="both"/>
        <w:rPr>
          <w:rFonts w:eastAsia="Arial"/>
          <w:lang w:val="en-US" w:eastAsia="en-US"/>
        </w:rPr>
      </w:pPr>
      <w:r w:rsidRPr="007B2A05">
        <w:rPr>
          <w:rFonts w:eastAsia="Arial"/>
          <w:bCs/>
          <w:lang w:val="en-US" w:eastAsia="en-US"/>
        </w:rPr>
        <w:t xml:space="preserve">LCT </w:t>
      </w:r>
      <w:r w:rsidRPr="001105F0">
        <w:rPr>
          <w:rFonts w:eastAsia="Arial"/>
          <w:bCs/>
          <w:lang w:val="en-US" w:eastAsia="en-US"/>
        </w:rPr>
        <w:t>conditions provide the primary mechanism for a forensic disability client to access commu</w:t>
      </w:r>
      <w:r w:rsidRPr="007B2A05">
        <w:rPr>
          <w:rFonts w:eastAsia="Arial"/>
          <w:bCs/>
          <w:lang w:val="en-US" w:eastAsia="en-US"/>
        </w:rPr>
        <w:t>nity treatment and rehabilitation</w:t>
      </w:r>
      <w:r w:rsidRPr="007B2A05">
        <w:rPr>
          <w:rFonts w:eastAsia="Arial"/>
          <w:lang w:val="en-US" w:eastAsia="en-US"/>
        </w:rPr>
        <w:t>.</w:t>
      </w:r>
    </w:p>
    <w:p w14:paraId="0557451E" w14:textId="5EE22C40" w:rsidR="00BE754D" w:rsidRPr="007B2A05" w:rsidRDefault="00BE754D" w:rsidP="00F64F38">
      <w:pPr>
        <w:jc w:val="both"/>
        <w:rPr>
          <w:rFonts w:eastAsia="Arial"/>
          <w:lang w:val="en-US" w:eastAsia="en-US"/>
        </w:rPr>
      </w:pPr>
      <w:r>
        <w:rPr>
          <w:rFonts w:eastAsia="Arial"/>
          <w:lang w:val="en-US" w:eastAsia="en-US"/>
        </w:rPr>
        <w:t>Where f</w:t>
      </w:r>
      <w:r w:rsidRPr="007B2A05">
        <w:rPr>
          <w:rFonts w:eastAsia="Arial"/>
          <w:lang w:val="en-US" w:eastAsia="en-US"/>
        </w:rPr>
        <w:t xml:space="preserve">orensic disability </w:t>
      </w:r>
      <w:r>
        <w:rPr>
          <w:rFonts w:eastAsia="Arial"/>
          <w:lang w:val="en-US" w:eastAsia="en-US"/>
        </w:rPr>
        <w:t>clients do not have approved LCT conditions, they</w:t>
      </w:r>
      <w:r w:rsidRPr="007B2A05">
        <w:rPr>
          <w:rFonts w:eastAsia="Arial"/>
          <w:lang w:val="en-US" w:eastAsia="en-US"/>
        </w:rPr>
        <w:t xml:space="preserve"> may be granted temporary leave of absence under section 32A of the Act at the discretion of the Director of Forensic Disability to meet health and legal requirements</w:t>
      </w:r>
      <w:r>
        <w:rPr>
          <w:rFonts w:eastAsia="Arial"/>
          <w:lang w:val="en-US" w:eastAsia="en-US"/>
        </w:rPr>
        <w:t>,</w:t>
      </w:r>
      <w:r w:rsidRPr="007B2A05">
        <w:rPr>
          <w:rFonts w:eastAsia="Arial"/>
          <w:lang w:val="en-US" w:eastAsia="en-US"/>
        </w:rPr>
        <w:t xml:space="preserve"> or as considered appropriate on compassionate grounds. </w:t>
      </w:r>
    </w:p>
    <w:p w14:paraId="00033990" w14:textId="77777777" w:rsidR="00B3570F" w:rsidRDefault="00BE754D" w:rsidP="00F64F38">
      <w:pPr>
        <w:pStyle w:val="Heading2"/>
        <w:numPr>
          <w:ilvl w:val="1"/>
          <w:numId w:val="14"/>
        </w:numPr>
      </w:pPr>
      <w:r w:rsidRPr="00183D37">
        <w:t>Policy</w:t>
      </w:r>
    </w:p>
    <w:p w14:paraId="16C3FC7E" w14:textId="77777777" w:rsidR="00BE754D" w:rsidRDefault="00BE754D" w:rsidP="00F64F38">
      <w:pPr>
        <w:pStyle w:val="Heading3"/>
        <w:numPr>
          <w:ilvl w:val="1"/>
          <w:numId w:val="21"/>
        </w:numPr>
      </w:pPr>
      <w:r w:rsidRPr="00CF3FAB">
        <w:t>Definitions</w:t>
      </w:r>
    </w:p>
    <w:p w14:paraId="77BA2392" w14:textId="418C940E" w:rsidR="00BE754D" w:rsidRPr="00AD2DDD" w:rsidRDefault="00BE754D" w:rsidP="00F64F38">
      <w:pPr>
        <w:jc w:val="both"/>
        <w:rPr>
          <w:rFonts w:eastAsia="Arial"/>
          <w:lang w:eastAsia="en-US"/>
        </w:rPr>
      </w:pPr>
      <w:r w:rsidRPr="00AD2DDD">
        <w:rPr>
          <w:rFonts w:eastAsia="Arial"/>
          <w:i/>
          <w:iCs/>
          <w:lang w:eastAsia="en-US"/>
        </w:rPr>
        <w:t>‘Limited community treatment’</w:t>
      </w:r>
      <w:r w:rsidRPr="00AD2DDD">
        <w:rPr>
          <w:rFonts w:eastAsia="Arial"/>
          <w:lang w:eastAsia="en-US"/>
        </w:rPr>
        <w:t>, mean</w:t>
      </w:r>
      <w:r>
        <w:rPr>
          <w:rFonts w:eastAsia="Arial"/>
          <w:lang w:eastAsia="en-US"/>
        </w:rPr>
        <w:t xml:space="preserve">s - </w:t>
      </w:r>
      <w:r w:rsidRPr="00AD2DDD">
        <w:rPr>
          <w:rFonts w:eastAsia="Arial"/>
          <w:lang w:eastAsia="en-US"/>
        </w:rPr>
        <w:t>the provision of some care and support for the forensic disability client in the community for up to 7 days.</w:t>
      </w:r>
    </w:p>
    <w:p w14:paraId="3AF38FBD" w14:textId="77777777" w:rsidR="00BE754D" w:rsidRPr="001105F0" w:rsidRDefault="00BE754D" w:rsidP="00F64F38">
      <w:pPr>
        <w:jc w:val="both"/>
        <w:rPr>
          <w:rFonts w:eastAsia="Arial"/>
          <w:iCs/>
          <w:lang w:eastAsia="en-US"/>
        </w:rPr>
      </w:pPr>
      <w:r w:rsidRPr="00AD2DDD">
        <w:rPr>
          <w:rFonts w:eastAsia="Arial"/>
          <w:i/>
          <w:iCs/>
          <w:lang w:eastAsia="en-US"/>
        </w:rPr>
        <w:t>‘Temporary Absence Approval’</w:t>
      </w:r>
      <w:r w:rsidRPr="00AD2DDD">
        <w:rPr>
          <w:rFonts w:eastAsia="Arial"/>
          <w:iCs/>
          <w:lang w:eastAsia="en-US"/>
        </w:rPr>
        <w:t xml:space="preserve"> means</w:t>
      </w:r>
      <w:r>
        <w:rPr>
          <w:rFonts w:eastAsia="Arial"/>
          <w:lang w:eastAsia="en-US"/>
        </w:rPr>
        <w:t xml:space="preserve"> - </w:t>
      </w:r>
      <w:r w:rsidRPr="00AD2DDD">
        <w:rPr>
          <w:rFonts w:eastAsia="Arial"/>
          <w:iCs/>
          <w:lang w:eastAsia="en-US"/>
        </w:rPr>
        <w:t>a</w:t>
      </w:r>
      <w:r>
        <w:rPr>
          <w:rFonts w:eastAsia="Arial"/>
          <w:iCs/>
          <w:lang w:eastAsia="en-US"/>
        </w:rPr>
        <w:t xml:space="preserve"> written</w:t>
      </w:r>
      <w:r w:rsidRPr="00AD2DDD">
        <w:rPr>
          <w:rFonts w:eastAsia="Arial"/>
          <w:iCs/>
          <w:lang w:eastAsia="en-US"/>
        </w:rPr>
        <w:t xml:space="preserve"> approval given under section 32A of the Act</w:t>
      </w:r>
      <w:r>
        <w:rPr>
          <w:rFonts w:eastAsia="Arial"/>
          <w:iCs/>
          <w:lang w:eastAsia="en-US"/>
        </w:rPr>
        <w:t xml:space="preserve"> by the </w:t>
      </w:r>
      <w:r w:rsidRPr="00AD2DDD">
        <w:rPr>
          <w:rFonts w:eastAsia="Arial"/>
          <w:iCs/>
          <w:lang w:eastAsia="en-US"/>
        </w:rPr>
        <w:t>Director of Forensic Disability</w:t>
      </w:r>
      <w:r>
        <w:rPr>
          <w:rFonts w:eastAsia="Arial"/>
          <w:iCs/>
          <w:lang w:eastAsia="en-US"/>
        </w:rPr>
        <w:t>.</w:t>
      </w:r>
    </w:p>
    <w:p w14:paraId="2CDE12EA" w14:textId="77777777" w:rsidR="00BE754D" w:rsidRPr="00183D37" w:rsidRDefault="00BE754D" w:rsidP="00F64F38">
      <w:pPr>
        <w:pStyle w:val="Heading3"/>
        <w:numPr>
          <w:ilvl w:val="1"/>
          <w:numId w:val="21"/>
        </w:numPr>
      </w:pPr>
      <w:r w:rsidRPr="00183D37">
        <w:t>L</w:t>
      </w:r>
      <w:r w:rsidR="0065100C">
        <w:t>imited Community Treatment</w:t>
      </w:r>
    </w:p>
    <w:p w14:paraId="5E8858E6" w14:textId="114CBC4A" w:rsidR="00BE754D" w:rsidRPr="009B6A29" w:rsidRDefault="00BE754D" w:rsidP="00F64F38">
      <w:pPr>
        <w:widowControl w:val="0"/>
        <w:ind w:right="229"/>
        <w:jc w:val="both"/>
        <w:rPr>
          <w:rFonts w:eastAsia="Arial"/>
          <w:spacing w:val="-1"/>
          <w:lang w:val="en-US" w:eastAsia="en-US"/>
        </w:rPr>
      </w:pPr>
      <w:r w:rsidRPr="009B6A29">
        <w:rPr>
          <w:rFonts w:eastAsia="Calibri"/>
          <w:lang w:val="en-US" w:eastAsia="en-US"/>
        </w:rPr>
        <w:t>LCT</w:t>
      </w:r>
      <w:r w:rsidRPr="009B6A29">
        <w:rPr>
          <w:rFonts w:eastAsia="Arial"/>
          <w:spacing w:val="-1"/>
          <w:lang w:val="en-US" w:eastAsia="en-US"/>
        </w:rPr>
        <w:t xml:space="preserve"> </w:t>
      </w:r>
      <w:r>
        <w:rPr>
          <w:rFonts w:eastAsia="Arial"/>
          <w:spacing w:val="-1"/>
          <w:lang w:val="en-US" w:eastAsia="en-US"/>
        </w:rPr>
        <w:t>may be approved by</w:t>
      </w:r>
      <w:r w:rsidRPr="009B6A29">
        <w:rPr>
          <w:rFonts w:eastAsia="Arial"/>
          <w:spacing w:val="-1"/>
          <w:lang w:val="en-US" w:eastAsia="en-US"/>
        </w:rPr>
        <w:t xml:space="preserve"> the MHC or the MHRT to enable persons detained under a </w:t>
      </w:r>
      <w:r w:rsidR="00E54F4A">
        <w:rPr>
          <w:rFonts w:eastAsia="Arial"/>
          <w:spacing w:val="-1"/>
          <w:lang w:val="en-US" w:eastAsia="en-US"/>
        </w:rPr>
        <w:t>f</w:t>
      </w:r>
      <w:r w:rsidR="00E54F4A" w:rsidRPr="009B6A29">
        <w:rPr>
          <w:rFonts w:eastAsia="Arial"/>
          <w:spacing w:val="-1"/>
          <w:lang w:val="en-US" w:eastAsia="en-US"/>
        </w:rPr>
        <w:t xml:space="preserve">orensic </w:t>
      </w:r>
      <w:r w:rsidR="00E54F4A">
        <w:rPr>
          <w:rFonts w:eastAsia="Arial"/>
          <w:spacing w:val="-1"/>
          <w:lang w:val="en-US" w:eastAsia="en-US"/>
        </w:rPr>
        <w:t>o</w:t>
      </w:r>
      <w:r w:rsidR="00E54F4A" w:rsidRPr="009B6A29">
        <w:rPr>
          <w:rFonts w:eastAsia="Arial"/>
          <w:spacing w:val="-1"/>
          <w:lang w:val="en-US" w:eastAsia="en-US"/>
        </w:rPr>
        <w:t xml:space="preserve">rder </w:t>
      </w:r>
      <w:r w:rsidRPr="009B6A29">
        <w:rPr>
          <w:rFonts w:eastAsia="Arial"/>
          <w:spacing w:val="-1"/>
          <w:lang w:val="en-US" w:eastAsia="en-US"/>
        </w:rPr>
        <w:t>inpatient category to access treatment and rehabilitation services in the community.</w:t>
      </w:r>
      <w:r>
        <w:rPr>
          <w:rFonts w:eastAsia="Arial"/>
          <w:spacing w:val="2"/>
          <w:lang w:val="en-US" w:eastAsia="en-US"/>
        </w:rPr>
        <w:t xml:space="preserve"> </w:t>
      </w:r>
      <w:r w:rsidR="00E54F4A">
        <w:rPr>
          <w:rFonts w:eastAsia="Arial"/>
          <w:spacing w:val="2"/>
          <w:lang w:val="en-US" w:eastAsia="en-US"/>
        </w:rPr>
        <w:t>T</w:t>
      </w:r>
      <w:r>
        <w:rPr>
          <w:rFonts w:eastAsia="Arial"/>
          <w:spacing w:val="2"/>
          <w:lang w:val="en-US" w:eastAsia="en-US"/>
        </w:rPr>
        <w:t xml:space="preserve">he MHC or MHRT </w:t>
      </w:r>
      <w:r w:rsidR="00E54F4A">
        <w:rPr>
          <w:rFonts w:eastAsia="Arial"/>
          <w:spacing w:val="2"/>
          <w:lang w:val="en-US" w:eastAsia="en-US"/>
        </w:rPr>
        <w:t>place limits on the amount of LCT that a client may access</w:t>
      </w:r>
      <w:r>
        <w:rPr>
          <w:rFonts w:eastAsia="Arial"/>
          <w:spacing w:val="2"/>
          <w:lang w:val="en-US" w:eastAsia="en-US"/>
        </w:rPr>
        <w:t xml:space="preserve">, based </w:t>
      </w:r>
      <w:r w:rsidR="00E54F4A">
        <w:rPr>
          <w:rFonts w:eastAsia="Arial"/>
          <w:spacing w:val="2"/>
          <w:lang w:val="en-US" w:eastAsia="en-US"/>
        </w:rPr>
        <w:t>up</w:t>
      </w:r>
      <w:r>
        <w:rPr>
          <w:rFonts w:eastAsia="Arial"/>
          <w:spacing w:val="2"/>
          <w:lang w:val="en-US" w:eastAsia="en-US"/>
        </w:rPr>
        <w:t>on</w:t>
      </w:r>
      <w:r w:rsidR="00E54F4A">
        <w:rPr>
          <w:rFonts w:eastAsia="Arial"/>
          <w:spacing w:val="2"/>
          <w:lang w:val="en-US" w:eastAsia="en-US"/>
        </w:rPr>
        <w:t xml:space="preserve"> factors relevant to each client. For example, the MHC or MHRT when deciding whether to approve LCT will  assess the client’s clinical needs, logistical capacity of the service, client safety, co</w:t>
      </w:r>
      <w:r>
        <w:rPr>
          <w:rFonts w:eastAsia="Arial"/>
          <w:spacing w:val="2"/>
          <w:lang w:val="en-US" w:eastAsia="en-US"/>
        </w:rPr>
        <w:t>mmunity safe</w:t>
      </w:r>
      <w:r w:rsidR="00294B6D">
        <w:rPr>
          <w:rFonts w:eastAsia="Arial"/>
          <w:spacing w:val="2"/>
          <w:lang w:val="en-US" w:eastAsia="en-US"/>
        </w:rPr>
        <w:t>ty</w:t>
      </w:r>
      <w:r w:rsidR="00E54F4A">
        <w:rPr>
          <w:rFonts w:eastAsia="Arial"/>
          <w:spacing w:val="2"/>
          <w:lang w:val="en-US" w:eastAsia="en-US"/>
        </w:rPr>
        <w:t xml:space="preserve"> etc</w:t>
      </w:r>
      <w:r>
        <w:rPr>
          <w:rFonts w:eastAsia="Arial"/>
          <w:spacing w:val="2"/>
          <w:lang w:val="en-US" w:eastAsia="en-US"/>
        </w:rPr>
        <w:t xml:space="preserve">. </w:t>
      </w:r>
      <w:r w:rsidRPr="009B6A29">
        <w:rPr>
          <w:rFonts w:eastAsia="Arial"/>
          <w:spacing w:val="2"/>
          <w:lang w:val="en-US" w:eastAsia="en-US"/>
        </w:rPr>
        <w:t>T</w:t>
      </w:r>
      <w:r w:rsidRPr="009B6A29">
        <w:rPr>
          <w:rFonts w:eastAsia="Arial"/>
          <w:spacing w:val="-2"/>
          <w:lang w:val="en-US" w:eastAsia="en-US"/>
        </w:rPr>
        <w:t>h</w:t>
      </w:r>
      <w:r w:rsidRPr="009B6A29">
        <w:rPr>
          <w:rFonts w:eastAsia="Arial"/>
          <w:lang w:val="en-US" w:eastAsia="en-US"/>
        </w:rPr>
        <w:t>e</w:t>
      </w:r>
      <w:r w:rsidRPr="009B6A29">
        <w:rPr>
          <w:rFonts w:eastAsia="Arial"/>
          <w:spacing w:val="-5"/>
          <w:lang w:val="en-US" w:eastAsia="en-US"/>
        </w:rPr>
        <w:t xml:space="preserve"> </w:t>
      </w:r>
      <w:r w:rsidRPr="009B6A29">
        <w:rPr>
          <w:rFonts w:eastAsia="Arial"/>
          <w:spacing w:val="-3"/>
          <w:lang w:val="en-US" w:eastAsia="en-US"/>
        </w:rPr>
        <w:t>LCT</w:t>
      </w:r>
      <w:r w:rsidRPr="009B6A29">
        <w:rPr>
          <w:rFonts w:eastAsia="Arial"/>
          <w:spacing w:val="-6"/>
          <w:lang w:val="en-US" w:eastAsia="en-US"/>
        </w:rPr>
        <w:t xml:space="preserve"> </w:t>
      </w:r>
      <w:r w:rsidRPr="009B6A29">
        <w:rPr>
          <w:rFonts w:eastAsia="Arial"/>
          <w:spacing w:val="1"/>
          <w:lang w:val="en-US" w:eastAsia="en-US"/>
        </w:rPr>
        <w:t>app</w:t>
      </w:r>
      <w:r w:rsidRPr="009B6A29">
        <w:rPr>
          <w:rFonts w:eastAsia="Arial"/>
          <w:spacing w:val="-5"/>
          <w:lang w:val="en-US" w:eastAsia="en-US"/>
        </w:rPr>
        <w:t>r</w:t>
      </w:r>
      <w:r w:rsidRPr="009B6A29">
        <w:rPr>
          <w:rFonts w:eastAsia="Arial"/>
          <w:spacing w:val="1"/>
          <w:lang w:val="en-US" w:eastAsia="en-US"/>
        </w:rPr>
        <w:t>o</w:t>
      </w:r>
      <w:r w:rsidRPr="009B6A29">
        <w:rPr>
          <w:rFonts w:eastAsia="Arial"/>
          <w:spacing w:val="-3"/>
          <w:lang w:val="en-US" w:eastAsia="en-US"/>
        </w:rPr>
        <w:t>v</w:t>
      </w:r>
      <w:r w:rsidRPr="009B6A29">
        <w:rPr>
          <w:rFonts w:eastAsia="Arial"/>
          <w:spacing w:val="1"/>
          <w:lang w:val="en-US" w:eastAsia="en-US"/>
        </w:rPr>
        <w:t>e</w:t>
      </w:r>
      <w:r w:rsidRPr="009B6A29">
        <w:rPr>
          <w:rFonts w:eastAsia="Arial"/>
          <w:lang w:val="en-US" w:eastAsia="en-US"/>
        </w:rPr>
        <w:t>d</w:t>
      </w:r>
      <w:r w:rsidRPr="009B6A29">
        <w:rPr>
          <w:rFonts w:eastAsia="Arial"/>
          <w:spacing w:val="-5"/>
          <w:lang w:val="en-US" w:eastAsia="en-US"/>
        </w:rPr>
        <w:t xml:space="preserve"> </w:t>
      </w:r>
      <w:r>
        <w:rPr>
          <w:rFonts w:eastAsia="Arial"/>
          <w:spacing w:val="-5"/>
          <w:lang w:val="en-US" w:eastAsia="en-US"/>
        </w:rPr>
        <w:t>by the MHC or MHRT</w:t>
      </w:r>
      <w:r w:rsidR="00E54F4A">
        <w:rPr>
          <w:rFonts w:eastAsia="Arial"/>
          <w:spacing w:val="-5"/>
          <w:lang w:val="en-US" w:eastAsia="en-US"/>
        </w:rPr>
        <w:t xml:space="preserve"> and </w:t>
      </w:r>
      <w:r w:rsidR="005B23BF">
        <w:rPr>
          <w:rFonts w:eastAsia="Arial"/>
          <w:spacing w:val="-5"/>
          <w:lang w:val="en-US" w:eastAsia="en-US"/>
        </w:rPr>
        <w:t xml:space="preserve">set out in the conditions attached to </w:t>
      </w:r>
      <w:r w:rsidR="00792024">
        <w:rPr>
          <w:rFonts w:eastAsia="Arial"/>
          <w:spacing w:val="-5"/>
          <w:lang w:val="en-US" w:eastAsia="en-US"/>
        </w:rPr>
        <w:t xml:space="preserve">each client’s </w:t>
      </w:r>
      <w:r w:rsidR="005B23BF">
        <w:rPr>
          <w:rFonts w:eastAsia="Arial"/>
          <w:spacing w:val="-5"/>
          <w:lang w:val="en-US" w:eastAsia="en-US"/>
        </w:rPr>
        <w:t>for</w:t>
      </w:r>
      <w:r w:rsidR="00E54F4A">
        <w:rPr>
          <w:rFonts w:eastAsia="Arial"/>
          <w:spacing w:val="-5"/>
          <w:lang w:val="en-US" w:eastAsia="en-US"/>
        </w:rPr>
        <w:t>ensic order</w:t>
      </w:r>
      <w:r>
        <w:rPr>
          <w:rFonts w:eastAsia="Arial"/>
          <w:spacing w:val="-5"/>
          <w:lang w:val="en-US" w:eastAsia="en-US"/>
        </w:rPr>
        <w:t xml:space="preserve"> </w:t>
      </w:r>
      <w:r w:rsidRPr="009B6A29">
        <w:rPr>
          <w:rFonts w:eastAsia="Arial"/>
          <w:spacing w:val="-1"/>
          <w:lang w:val="en-US" w:eastAsia="en-US"/>
        </w:rPr>
        <w:t>i</w:t>
      </w:r>
      <w:r w:rsidRPr="009B6A29">
        <w:rPr>
          <w:rFonts w:eastAsia="Arial"/>
          <w:lang w:val="en-US" w:eastAsia="en-US"/>
        </w:rPr>
        <w:t>s</w:t>
      </w:r>
      <w:r w:rsidRPr="009B6A29">
        <w:rPr>
          <w:rFonts w:eastAsia="Arial"/>
          <w:spacing w:val="-6"/>
          <w:lang w:val="en-US" w:eastAsia="en-US"/>
        </w:rPr>
        <w:t xml:space="preserve"> </w:t>
      </w:r>
      <w:r w:rsidRPr="009B6A29">
        <w:rPr>
          <w:rFonts w:eastAsia="Arial"/>
          <w:lang w:val="en-US" w:eastAsia="en-US"/>
        </w:rPr>
        <w:t>t</w:t>
      </w:r>
      <w:r w:rsidRPr="009B6A29">
        <w:rPr>
          <w:rFonts w:eastAsia="Arial"/>
          <w:spacing w:val="-2"/>
          <w:lang w:val="en-US" w:eastAsia="en-US"/>
        </w:rPr>
        <w:t>h</w:t>
      </w:r>
      <w:r w:rsidRPr="009B6A29">
        <w:rPr>
          <w:rFonts w:eastAsia="Arial"/>
          <w:lang w:val="en-US" w:eastAsia="en-US"/>
        </w:rPr>
        <w:t xml:space="preserve">e </w:t>
      </w:r>
      <w:r w:rsidRPr="009B6A29">
        <w:rPr>
          <w:rFonts w:eastAsia="Arial"/>
          <w:spacing w:val="1"/>
          <w:lang w:val="en-US" w:eastAsia="en-US"/>
        </w:rPr>
        <w:t>ma</w:t>
      </w:r>
      <w:r w:rsidRPr="009B6A29">
        <w:rPr>
          <w:rFonts w:eastAsia="Arial"/>
          <w:spacing w:val="-3"/>
          <w:lang w:val="en-US" w:eastAsia="en-US"/>
        </w:rPr>
        <w:t>x</w:t>
      </w:r>
      <w:r w:rsidRPr="009B6A29">
        <w:rPr>
          <w:rFonts w:eastAsia="Arial"/>
          <w:spacing w:val="-1"/>
          <w:lang w:val="en-US" w:eastAsia="en-US"/>
        </w:rPr>
        <w:t>i</w:t>
      </w:r>
      <w:r w:rsidRPr="009B6A29">
        <w:rPr>
          <w:rFonts w:eastAsia="Arial"/>
          <w:spacing w:val="1"/>
          <w:lang w:val="en-US" w:eastAsia="en-US"/>
        </w:rPr>
        <w:t>m</w:t>
      </w:r>
      <w:r w:rsidRPr="009B6A29">
        <w:rPr>
          <w:rFonts w:eastAsia="Arial"/>
          <w:spacing w:val="-2"/>
          <w:lang w:val="en-US" w:eastAsia="en-US"/>
        </w:rPr>
        <w:t>u</w:t>
      </w:r>
      <w:r w:rsidRPr="009B6A29">
        <w:rPr>
          <w:rFonts w:eastAsia="Arial"/>
          <w:lang w:val="en-US" w:eastAsia="en-US"/>
        </w:rPr>
        <w:t>m</w:t>
      </w:r>
      <w:r w:rsidRPr="009B6A29">
        <w:rPr>
          <w:rFonts w:eastAsia="Arial"/>
          <w:spacing w:val="-5"/>
          <w:lang w:val="en-US" w:eastAsia="en-US"/>
        </w:rPr>
        <w:t xml:space="preserve"> </w:t>
      </w:r>
      <w:r w:rsidR="00E54F4A">
        <w:rPr>
          <w:rFonts w:eastAsia="Arial"/>
          <w:spacing w:val="-5"/>
          <w:lang w:val="en-US" w:eastAsia="en-US"/>
        </w:rPr>
        <w:t xml:space="preserve">amount </w:t>
      </w:r>
      <w:r w:rsidR="00D63CA4">
        <w:rPr>
          <w:rFonts w:eastAsia="Arial"/>
          <w:lang w:val="en-US" w:eastAsia="en-US"/>
        </w:rPr>
        <w:t>of LCT</w:t>
      </w:r>
      <w:r w:rsidRPr="009B6A29">
        <w:rPr>
          <w:rFonts w:eastAsia="Arial"/>
          <w:spacing w:val="-6"/>
          <w:lang w:val="en-US" w:eastAsia="en-US"/>
        </w:rPr>
        <w:t xml:space="preserve"> </w:t>
      </w:r>
      <w:r w:rsidRPr="009B6A29">
        <w:rPr>
          <w:rFonts w:eastAsia="Arial"/>
          <w:lang w:val="en-US" w:eastAsia="en-US"/>
        </w:rPr>
        <w:t>t</w:t>
      </w:r>
      <w:r w:rsidRPr="009B6A29">
        <w:rPr>
          <w:rFonts w:eastAsia="Arial"/>
          <w:spacing w:val="1"/>
          <w:lang w:val="en-US" w:eastAsia="en-US"/>
        </w:rPr>
        <w:t>h</w:t>
      </w:r>
      <w:r w:rsidRPr="009B6A29">
        <w:rPr>
          <w:rFonts w:eastAsia="Arial"/>
          <w:spacing w:val="-2"/>
          <w:lang w:val="en-US" w:eastAsia="en-US"/>
        </w:rPr>
        <w:t>a</w:t>
      </w:r>
      <w:r w:rsidRPr="009B6A29">
        <w:rPr>
          <w:rFonts w:eastAsia="Arial"/>
          <w:lang w:val="en-US" w:eastAsia="en-US"/>
        </w:rPr>
        <w:t>t</w:t>
      </w:r>
      <w:r w:rsidRPr="009B6A29">
        <w:rPr>
          <w:rFonts w:eastAsia="Arial"/>
          <w:spacing w:val="-5"/>
          <w:lang w:val="en-US" w:eastAsia="en-US"/>
        </w:rPr>
        <w:t xml:space="preserve"> </w:t>
      </w:r>
      <w:r w:rsidR="00E54F4A">
        <w:rPr>
          <w:rFonts w:eastAsia="Arial"/>
          <w:spacing w:val="-5"/>
          <w:lang w:val="en-US" w:eastAsia="en-US"/>
        </w:rPr>
        <w:t xml:space="preserve">may </w:t>
      </w:r>
      <w:r w:rsidRPr="009B6A29">
        <w:rPr>
          <w:rFonts w:eastAsia="Arial"/>
          <w:spacing w:val="1"/>
          <w:lang w:val="en-US" w:eastAsia="en-US"/>
        </w:rPr>
        <w:t>b</w:t>
      </w:r>
      <w:r w:rsidRPr="009B6A29">
        <w:rPr>
          <w:rFonts w:eastAsia="Arial"/>
          <w:lang w:val="en-US" w:eastAsia="en-US"/>
        </w:rPr>
        <w:t>e</w:t>
      </w:r>
      <w:r w:rsidRPr="009B6A29">
        <w:rPr>
          <w:rFonts w:eastAsia="Arial"/>
          <w:spacing w:val="-7"/>
          <w:lang w:val="en-US" w:eastAsia="en-US"/>
        </w:rPr>
        <w:t xml:space="preserve"> </w:t>
      </w:r>
      <w:r w:rsidRPr="009B6A29">
        <w:rPr>
          <w:rFonts w:eastAsia="Arial"/>
          <w:spacing w:val="1"/>
          <w:lang w:val="en-US" w:eastAsia="en-US"/>
        </w:rPr>
        <w:t>a</w:t>
      </w:r>
      <w:r w:rsidRPr="009B6A29">
        <w:rPr>
          <w:rFonts w:eastAsia="Arial"/>
          <w:lang w:val="en-US" w:eastAsia="en-US"/>
        </w:rPr>
        <w:t>cc</w:t>
      </w:r>
      <w:r w:rsidRPr="009B6A29">
        <w:rPr>
          <w:rFonts w:eastAsia="Arial"/>
          <w:spacing w:val="1"/>
          <w:lang w:val="en-US" w:eastAsia="en-US"/>
        </w:rPr>
        <w:t>e</w:t>
      </w:r>
      <w:r w:rsidRPr="009B6A29">
        <w:rPr>
          <w:rFonts w:eastAsia="Arial"/>
          <w:lang w:val="en-US" w:eastAsia="en-US"/>
        </w:rPr>
        <w:t>s</w:t>
      </w:r>
      <w:r w:rsidRPr="009B6A29">
        <w:rPr>
          <w:rFonts w:eastAsia="Arial"/>
          <w:spacing w:val="-3"/>
          <w:lang w:val="en-US" w:eastAsia="en-US"/>
        </w:rPr>
        <w:t>s</w:t>
      </w:r>
      <w:r w:rsidRPr="009B6A29">
        <w:rPr>
          <w:rFonts w:eastAsia="Arial"/>
          <w:spacing w:val="1"/>
          <w:lang w:val="en-US" w:eastAsia="en-US"/>
        </w:rPr>
        <w:t>e</w:t>
      </w:r>
      <w:r w:rsidRPr="009B6A29">
        <w:rPr>
          <w:rFonts w:eastAsia="Arial"/>
          <w:lang w:val="en-US" w:eastAsia="en-US"/>
        </w:rPr>
        <w:t>d</w:t>
      </w:r>
      <w:r w:rsidRPr="009B6A29">
        <w:rPr>
          <w:rFonts w:eastAsia="Arial"/>
          <w:spacing w:val="-7"/>
          <w:lang w:val="en-US" w:eastAsia="en-US"/>
        </w:rPr>
        <w:t xml:space="preserve"> </w:t>
      </w:r>
      <w:r w:rsidRPr="009B6A29">
        <w:rPr>
          <w:rFonts w:eastAsia="Arial"/>
          <w:spacing w:val="1"/>
          <w:lang w:val="en-US" w:eastAsia="en-US"/>
        </w:rPr>
        <w:t>b</w:t>
      </w:r>
      <w:r w:rsidRPr="009B6A29">
        <w:rPr>
          <w:rFonts w:eastAsia="Arial"/>
          <w:lang w:val="en-US" w:eastAsia="en-US"/>
        </w:rPr>
        <w:t>y</w:t>
      </w:r>
      <w:r w:rsidRPr="009B6A29">
        <w:rPr>
          <w:rFonts w:eastAsia="Arial"/>
          <w:spacing w:val="-8"/>
          <w:lang w:val="en-US" w:eastAsia="en-US"/>
        </w:rPr>
        <w:t xml:space="preserve"> </w:t>
      </w:r>
      <w:r w:rsidRPr="009B6A29">
        <w:rPr>
          <w:rFonts w:eastAsia="Arial"/>
          <w:lang w:val="en-US" w:eastAsia="en-US"/>
        </w:rPr>
        <w:t>t</w:t>
      </w:r>
      <w:r w:rsidRPr="009B6A29">
        <w:rPr>
          <w:rFonts w:eastAsia="Arial"/>
          <w:spacing w:val="1"/>
          <w:lang w:val="en-US" w:eastAsia="en-US"/>
        </w:rPr>
        <w:t>h</w:t>
      </w:r>
      <w:r w:rsidRPr="009B6A29">
        <w:rPr>
          <w:rFonts w:eastAsia="Arial"/>
          <w:lang w:val="en-US" w:eastAsia="en-US"/>
        </w:rPr>
        <w:t>e</w:t>
      </w:r>
      <w:r w:rsidRPr="009B6A29">
        <w:rPr>
          <w:rFonts w:eastAsia="Arial"/>
          <w:spacing w:val="-5"/>
          <w:lang w:val="en-US" w:eastAsia="en-US"/>
        </w:rPr>
        <w:t xml:space="preserve"> </w:t>
      </w:r>
      <w:r w:rsidRPr="009B6A29">
        <w:rPr>
          <w:rFonts w:eastAsia="Arial"/>
          <w:spacing w:val="-3"/>
          <w:lang w:val="en-US" w:eastAsia="en-US"/>
        </w:rPr>
        <w:t>c</w:t>
      </w:r>
      <w:r w:rsidRPr="009B6A29">
        <w:rPr>
          <w:rFonts w:eastAsia="Arial"/>
          <w:spacing w:val="-1"/>
          <w:lang w:val="en-US" w:eastAsia="en-US"/>
        </w:rPr>
        <w:t>li</w:t>
      </w:r>
      <w:r w:rsidRPr="009B6A29">
        <w:rPr>
          <w:rFonts w:eastAsia="Arial"/>
          <w:spacing w:val="1"/>
          <w:lang w:val="en-US" w:eastAsia="en-US"/>
        </w:rPr>
        <w:t>en</w:t>
      </w:r>
      <w:r w:rsidRPr="009B6A29">
        <w:rPr>
          <w:rFonts w:eastAsia="Arial"/>
          <w:lang w:val="en-US" w:eastAsia="en-US"/>
        </w:rPr>
        <w:t>t</w:t>
      </w:r>
      <w:r>
        <w:rPr>
          <w:rFonts w:eastAsia="Arial"/>
          <w:lang w:val="en-US" w:eastAsia="en-US"/>
        </w:rPr>
        <w:t>.</w:t>
      </w:r>
    </w:p>
    <w:p w14:paraId="2FC74ABE" w14:textId="4594B979" w:rsidR="00BE754D" w:rsidRDefault="00BE754D" w:rsidP="00F64F38">
      <w:pPr>
        <w:widowControl w:val="0"/>
        <w:ind w:right="229"/>
        <w:jc w:val="both"/>
        <w:rPr>
          <w:rFonts w:eastAsia="Arial"/>
          <w:lang w:val="en-US" w:eastAsia="en-US"/>
        </w:rPr>
      </w:pPr>
      <w:r>
        <w:rPr>
          <w:rFonts w:eastAsia="Arial"/>
          <w:lang w:val="en-US" w:eastAsia="en-US"/>
        </w:rPr>
        <w:lastRenderedPageBreak/>
        <w:t>T</w:t>
      </w:r>
      <w:r w:rsidRPr="009B6A29">
        <w:rPr>
          <w:rFonts w:eastAsia="Arial"/>
          <w:lang w:val="en-US" w:eastAsia="en-US"/>
        </w:rPr>
        <w:t xml:space="preserve">he conditions of the LCT </w:t>
      </w:r>
      <w:r w:rsidR="00792024">
        <w:rPr>
          <w:rFonts w:eastAsia="Arial"/>
          <w:lang w:val="en-US" w:eastAsia="en-US"/>
        </w:rPr>
        <w:t>attached to the client</w:t>
      </w:r>
      <w:r w:rsidR="00792024" w:rsidRPr="009B6A29">
        <w:rPr>
          <w:rFonts w:eastAsia="Arial"/>
          <w:lang w:val="en-US" w:eastAsia="en-US"/>
        </w:rPr>
        <w:t xml:space="preserve">’s </w:t>
      </w:r>
      <w:r w:rsidRPr="009B6A29">
        <w:rPr>
          <w:rFonts w:eastAsia="Arial"/>
          <w:lang w:val="en-US" w:eastAsia="en-US"/>
        </w:rPr>
        <w:t>forensic order</w:t>
      </w:r>
      <w:r>
        <w:rPr>
          <w:rFonts w:eastAsia="Arial"/>
          <w:lang w:val="en-US" w:eastAsia="en-US"/>
        </w:rPr>
        <w:t xml:space="preserve"> will determine the manner in which a</w:t>
      </w:r>
      <w:r w:rsidRPr="009B6A29">
        <w:rPr>
          <w:rFonts w:eastAsia="Arial"/>
          <w:spacing w:val="-8"/>
          <w:lang w:val="en-US" w:eastAsia="en-US"/>
        </w:rPr>
        <w:t xml:space="preserve"> </w:t>
      </w:r>
      <w:r w:rsidRPr="009B6A29">
        <w:rPr>
          <w:rFonts w:eastAsia="Arial"/>
          <w:spacing w:val="-2"/>
          <w:lang w:val="en-US" w:eastAsia="en-US"/>
        </w:rPr>
        <w:t>f</w:t>
      </w:r>
      <w:r w:rsidRPr="009B6A29">
        <w:rPr>
          <w:rFonts w:eastAsia="Arial"/>
          <w:spacing w:val="1"/>
          <w:lang w:val="en-US" w:eastAsia="en-US"/>
        </w:rPr>
        <w:t>o</w:t>
      </w:r>
      <w:r w:rsidRPr="009B6A29">
        <w:rPr>
          <w:rFonts w:eastAsia="Arial"/>
          <w:spacing w:val="-1"/>
          <w:lang w:val="en-US" w:eastAsia="en-US"/>
        </w:rPr>
        <w:t>r</w:t>
      </w:r>
      <w:r w:rsidRPr="009B6A29">
        <w:rPr>
          <w:rFonts w:eastAsia="Arial"/>
          <w:spacing w:val="1"/>
          <w:lang w:val="en-US" w:eastAsia="en-US"/>
        </w:rPr>
        <w:t>en</w:t>
      </w:r>
      <w:r w:rsidRPr="009B6A29">
        <w:rPr>
          <w:rFonts w:eastAsia="Arial"/>
          <w:lang w:val="en-US" w:eastAsia="en-US"/>
        </w:rPr>
        <w:t>s</w:t>
      </w:r>
      <w:r w:rsidRPr="009B6A29">
        <w:rPr>
          <w:rFonts w:eastAsia="Arial"/>
          <w:spacing w:val="-1"/>
          <w:lang w:val="en-US" w:eastAsia="en-US"/>
        </w:rPr>
        <w:t>i</w:t>
      </w:r>
      <w:r w:rsidRPr="009B6A29">
        <w:rPr>
          <w:rFonts w:eastAsia="Arial"/>
          <w:lang w:val="en-US" w:eastAsia="en-US"/>
        </w:rPr>
        <w:t>c</w:t>
      </w:r>
      <w:r w:rsidRPr="009B6A29">
        <w:rPr>
          <w:rFonts w:eastAsia="Arial"/>
          <w:spacing w:val="-7"/>
          <w:lang w:val="en-US" w:eastAsia="en-US"/>
        </w:rPr>
        <w:t xml:space="preserve"> </w:t>
      </w:r>
      <w:r w:rsidRPr="009B6A29">
        <w:rPr>
          <w:rFonts w:eastAsia="Arial"/>
          <w:spacing w:val="1"/>
          <w:lang w:val="en-US" w:eastAsia="en-US"/>
        </w:rPr>
        <w:t>d</w:t>
      </w:r>
      <w:r w:rsidRPr="009B6A29">
        <w:rPr>
          <w:rFonts w:eastAsia="Arial"/>
          <w:spacing w:val="-1"/>
          <w:lang w:val="en-US" w:eastAsia="en-US"/>
        </w:rPr>
        <w:t>i</w:t>
      </w:r>
      <w:r w:rsidRPr="009B6A29">
        <w:rPr>
          <w:rFonts w:eastAsia="Arial"/>
          <w:lang w:val="en-US" w:eastAsia="en-US"/>
        </w:rPr>
        <w:t>s</w:t>
      </w:r>
      <w:r w:rsidRPr="009B6A29">
        <w:rPr>
          <w:rFonts w:eastAsia="Arial"/>
          <w:spacing w:val="-2"/>
          <w:lang w:val="en-US" w:eastAsia="en-US"/>
        </w:rPr>
        <w:t>a</w:t>
      </w:r>
      <w:r w:rsidRPr="009B6A29">
        <w:rPr>
          <w:rFonts w:eastAsia="Arial"/>
          <w:spacing w:val="1"/>
          <w:lang w:val="en-US" w:eastAsia="en-US"/>
        </w:rPr>
        <w:t>b</w:t>
      </w:r>
      <w:r w:rsidRPr="009B6A29">
        <w:rPr>
          <w:rFonts w:eastAsia="Arial"/>
          <w:spacing w:val="-1"/>
          <w:lang w:val="en-US" w:eastAsia="en-US"/>
        </w:rPr>
        <w:t>ili</w:t>
      </w:r>
      <w:r w:rsidRPr="009B6A29">
        <w:rPr>
          <w:rFonts w:eastAsia="Arial"/>
          <w:lang w:val="en-US" w:eastAsia="en-US"/>
        </w:rPr>
        <w:t>ty</w:t>
      </w:r>
      <w:r w:rsidRPr="009B6A29">
        <w:rPr>
          <w:rFonts w:eastAsia="Arial"/>
          <w:spacing w:val="-9"/>
          <w:lang w:val="en-US" w:eastAsia="en-US"/>
        </w:rPr>
        <w:t xml:space="preserve"> </w:t>
      </w:r>
      <w:r w:rsidRPr="009B6A29">
        <w:rPr>
          <w:rFonts w:eastAsia="Arial"/>
          <w:lang w:val="en-US" w:eastAsia="en-US"/>
        </w:rPr>
        <w:t>c</w:t>
      </w:r>
      <w:r w:rsidRPr="009B6A29">
        <w:rPr>
          <w:rFonts w:eastAsia="Arial"/>
          <w:spacing w:val="-1"/>
          <w:lang w:val="en-US" w:eastAsia="en-US"/>
        </w:rPr>
        <w:t>li</w:t>
      </w:r>
      <w:r w:rsidRPr="009B6A29">
        <w:rPr>
          <w:rFonts w:eastAsia="Arial"/>
          <w:spacing w:val="1"/>
          <w:lang w:val="en-US" w:eastAsia="en-US"/>
        </w:rPr>
        <w:t>en</w:t>
      </w:r>
      <w:r w:rsidRPr="009B6A29">
        <w:rPr>
          <w:rFonts w:eastAsia="Arial"/>
          <w:lang w:val="en-US" w:eastAsia="en-US"/>
        </w:rPr>
        <w:t>t</w:t>
      </w:r>
      <w:r w:rsidRPr="009B6A29">
        <w:rPr>
          <w:rFonts w:eastAsia="Arial"/>
          <w:spacing w:val="-6"/>
          <w:lang w:val="en-US" w:eastAsia="en-US"/>
        </w:rPr>
        <w:t xml:space="preserve"> </w:t>
      </w:r>
      <w:r w:rsidRPr="009B6A29">
        <w:rPr>
          <w:rFonts w:eastAsia="Arial"/>
          <w:spacing w:val="1"/>
          <w:lang w:val="en-US" w:eastAsia="en-US"/>
        </w:rPr>
        <w:t>ma</w:t>
      </w:r>
      <w:r w:rsidRPr="009B6A29">
        <w:rPr>
          <w:rFonts w:eastAsia="Arial"/>
          <w:lang w:val="en-US" w:eastAsia="en-US"/>
        </w:rPr>
        <w:t>y</w:t>
      </w:r>
      <w:r w:rsidRPr="009B6A29">
        <w:rPr>
          <w:rFonts w:eastAsia="Arial"/>
          <w:w w:val="99"/>
          <w:lang w:val="en-US" w:eastAsia="en-US"/>
        </w:rPr>
        <w:t xml:space="preserve"> </w:t>
      </w:r>
      <w:r w:rsidRPr="009B6A29">
        <w:rPr>
          <w:rFonts w:eastAsia="Arial"/>
          <w:spacing w:val="1"/>
          <w:lang w:val="en-US" w:eastAsia="en-US"/>
        </w:rPr>
        <w:t>a</w:t>
      </w:r>
      <w:r w:rsidRPr="009B6A29">
        <w:rPr>
          <w:rFonts w:eastAsia="Arial"/>
          <w:lang w:val="en-US" w:eastAsia="en-US"/>
        </w:rPr>
        <w:t>cc</w:t>
      </w:r>
      <w:r w:rsidRPr="009B6A29">
        <w:rPr>
          <w:rFonts w:eastAsia="Arial"/>
          <w:spacing w:val="1"/>
          <w:lang w:val="en-US" w:eastAsia="en-US"/>
        </w:rPr>
        <w:t>e</w:t>
      </w:r>
      <w:r w:rsidRPr="009B6A29">
        <w:rPr>
          <w:rFonts w:eastAsia="Arial"/>
          <w:lang w:val="en-US" w:eastAsia="en-US"/>
        </w:rPr>
        <w:t>ss</w:t>
      </w:r>
      <w:r w:rsidRPr="009B6A29">
        <w:rPr>
          <w:rFonts w:eastAsia="Arial"/>
          <w:spacing w:val="-9"/>
          <w:lang w:val="en-US" w:eastAsia="en-US"/>
        </w:rPr>
        <w:t xml:space="preserve"> </w:t>
      </w:r>
      <w:r w:rsidRPr="009B6A29">
        <w:rPr>
          <w:rFonts w:eastAsia="Arial"/>
          <w:lang w:val="en-US" w:eastAsia="en-US"/>
        </w:rPr>
        <w:t>c</w:t>
      </w:r>
      <w:r w:rsidRPr="009B6A29">
        <w:rPr>
          <w:rFonts w:eastAsia="Arial"/>
          <w:spacing w:val="-2"/>
          <w:lang w:val="en-US" w:eastAsia="en-US"/>
        </w:rPr>
        <w:t>o</w:t>
      </w:r>
      <w:r w:rsidRPr="009B6A29">
        <w:rPr>
          <w:rFonts w:eastAsia="Arial"/>
          <w:spacing w:val="-1"/>
          <w:lang w:val="en-US" w:eastAsia="en-US"/>
        </w:rPr>
        <w:t>m</w:t>
      </w:r>
      <w:r w:rsidRPr="009B6A29">
        <w:rPr>
          <w:rFonts w:eastAsia="Arial"/>
          <w:spacing w:val="1"/>
          <w:lang w:val="en-US" w:eastAsia="en-US"/>
        </w:rPr>
        <w:t>mun</w:t>
      </w:r>
      <w:r w:rsidRPr="009B6A29">
        <w:rPr>
          <w:rFonts w:eastAsia="Arial"/>
          <w:spacing w:val="-1"/>
          <w:lang w:val="en-US" w:eastAsia="en-US"/>
        </w:rPr>
        <w:t>i</w:t>
      </w:r>
      <w:r w:rsidRPr="009B6A29">
        <w:rPr>
          <w:rFonts w:eastAsia="Arial"/>
          <w:lang w:val="en-US" w:eastAsia="en-US"/>
        </w:rPr>
        <w:t>t</w:t>
      </w:r>
      <w:r w:rsidRPr="009B6A29">
        <w:rPr>
          <w:rFonts w:eastAsia="Arial"/>
          <w:spacing w:val="-3"/>
          <w:lang w:val="en-US" w:eastAsia="en-US"/>
        </w:rPr>
        <w:t>y</w:t>
      </w:r>
      <w:r w:rsidRPr="009B6A29">
        <w:rPr>
          <w:rFonts w:eastAsia="Arial"/>
          <w:spacing w:val="-1"/>
          <w:lang w:val="en-US" w:eastAsia="en-US"/>
        </w:rPr>
        <w:t>-</w:t>
      </w:r>
      <w:r w:rsidRPr="009B6A29">
        <w:rPr>
          <w:rFonts w:eastAsia="Arial"/>
          <w:spacing w:val="1"/>
          <w:lang w:val="en-US" w:eastAsia="en-US"/>
        </w:rPr>
        <w:t>ba</w:t>
      </w:r>
      <w:r w:rsidRPr="009B6A29">
        <w:rPr>
          <w:rFonts w:eastAsia="Arial"/>
          <w:spacing w:val="-3"/>
          <w:lang w:val="en-US" w:eastAsia="en-US"/>
        </w:rPr>
        <w:t>s</w:t>
      </w:r>
      <w:r w:rsidRPr="009B6A29">
        <w:rPr>
          <w:rFonts w:eastAsia="Arial"/>
          <w:spacing w:val="1"/>
          <w:lang w:val="en-US" w:eastAsia="en-US"/>
        </w:rPr>
        <w:t>e</w:t>
      </w:r>
      <w:r w:rsidRPr="009B6A29">
        <w:rPr>
          <w:rFonts w:eastAsia="Arial"/>
          <w:lang w:val="en-US" w:eastAsia="en-US"/>
        </w:rPr>
        <w:t>d</w:t>
      </w:r>
      <w:r w:rsidRPr="009B6A29">
        <w:rPr>
          <w:rFonts w:eastAsia="Arial"/>
          <w:spacing w:val="-8"/>
          <w:lang w:val="en-US" w:eastAsia="en-US"/>
        </w:rPr>
        <w:t xml:space="preserve"> </w:t>
      </w:r>
      <w:r w:rsidRPr="009B6A29">
        <w:rPr>
          <w:rFonts w:eastAsia="Arial"/>
          <w:lang w:val="en-US" w:eastAsia="en-US"/>
        </w:rPr>
        <w:t>c</w:t>
      </w:r>
      <w:r w:rsidRPr="009B6A29">
        <w:rPr>
          <w:rFonts w:eastAsia="Arial"/>
          <w:spacing w:val="1"/>
          <w:lang w:val="en-US" w:eastAsia="en-US"/>
        </w:rPr>
        <w:t>a</w:t>
      </w:r>
      <w:r w:rsidRPr="009B6A29">
        <w:rPr>
          <w:rFonts w:eastAsia="Arial"/>
          <w:spacing w:val="-1"/>
          <w:lang w:val="en-US" w:eastAsia="en-US"/>
        </w:rPr>
        <w:t>r</w:t>
      </w:r>
      <w:r w:rsidRPr="009B6A29">
        <w:rPr>
          <w:rFonts w:eastAsia="Arial"/>
          <w:lang w:val="en-US" w:eastAsia="en-US"/>
        </w:rPr>
        <w:t>e</w:t>
      </w:r>
      <w:r w:rsidRPr="009B6A29">
        <w:rPr>
          <w:rFonts w:eastAsia="Arial"/>
          <w:spacing w:val="-10"/>
          <w:lang w:val="en-US" w:eastAsia="en-US"/>
        </w:rPr>
        <w:t xml:space="preserve"> </w:t>
      </w:r>
      <w:r w:rsidRPr="009B6A29">
        <w:rPr>
          <w:rFonts w:eastAsia="Arial"/>
          <w:spacing w:val="1"/>
          <w:lang w:val="en-US" w:eastAsia="en-US"/>
        </w:rPr>
        <w:t>a</w:t>
      </w:r>
      <w:r w:rsidRPr="009B6A29">
        <w:rPr>
          <w:rFonts w:eastAsia="Arial"/>
          <w:spacing w:val="-2"/>
          <w:lang w:val="en-US" w:eastAsia="en-US"/>
        </w:rPr>
        <w:t>n</w:t>
      </w:r>
      <w:r w:rsidRPr="009B6A29">
        <w:rPr>
          <w:rFonts w:eastAsia="Arial"/>
          <w:lang w:val="en-US" w:eastAsia="en-US"/>
        </w:rPr>
        <w:t>d</w:t>
      </w:r>
      <w:r w:rsidRPr="009B6A29">
        <w:rPr>
          <w:rFonts w:eastAsia="Arial"/>
          <w:spacing w:val="-7"/>
          <w:lang w:val="en-US" w:eastAsia="en-US"/>
        </w:rPr>
        <w:t xml:space="preserve"> </w:t>
      </w:r>
      <w:r w:rsidRPr="009B6A29">
        <w:rPr>
          <w:rFonts w:eastAsia="Arial"/>
          <w:lang w:val="en-US" w:eastAsia="en-US"/>
        </w:rPr>
        <w:t>s</w:t>
      </w:r>
      <w:r w:rsidRPr="009B6A29">
        <w:rPr>
          <w:rFonts w:eastAsia="Arial"/>
          <w:spacing w:val="-2"/>
          <w:lang w:val="en-US" w:eastAsia="en-US"/>
        </w:rPr>
        <w:t>u</w:t>
      </w:r>
      <w:r w:rsidRPr="009B6A29">
        <w:rPr>
          <w:rFonts w:eastAsia="Arial"/>
          <w:spacing w:val="1"/>
          <w:lang w:val="en-US" w:eastAsia="en-US"/>
        </w:rPr>
        <w:t>p</w:t>
      </w:r>
      <w:r w:rsidRPr="009B6A29">
        <w:rPr>
          <w:rFonts w:eastAsia="Arial"/>
          <w:spacing w:val="-2"/>
          <w:lang w:val="en-US" w:eastAsia="en-US"/>
        </w:rPr>
        <w:t>p</w:t>
      </w:r>
      <w:r w:rsidRPr="009B6A29">
        <w:rPr>
          <w:rFonts w:eastAsia="Arial"/>
          <w:spacing w:val="1"/>
          <w:lang w:val="en-US" w:eastAsia="en-US"/>
        </w:rPr>
        <w:t>o</w:t>
      </w:r>
      <w:r w:rsidRPr="009B6A29">
        <w:rPr>
          <w:rFonts w:eastAsia="Arial"/>
          <w:spacing w:val="-1"/>
          <w:lang w:val="en-US" w:eastAsia="en-US"/>
        </w:rPr>
        <w:t>r</w:t>
      </w:r>
      <w:r w:rsidRPr="009B6A29">
        <w:rPr>
          <w:rFonts w:eastAsia="Arial"/>
          <w:lang w:val="en-US" w:eastAsia="en-US"/>
        </w:rPr>
        <w:t>t</w:t>
      </w:r>
      <w:r w:rsidR="00792024">
        <w:rPr>
          <w:rFonts w:eastAsia="Arial"/>
          <w:lang w:val="en-US" w:eastAsia="en-US"/>
        </w:rPr>
        <w:t xml:space="preserve">. The Senior Practitioner </w:t>
      </w:r>
      <w:r>
        <w:rPr>
          <w:rFonts w:eastAsia="Arial"/>
          <w:lang w:val="en-US" w:eastAsia="en-US"/>
        </w:rPr>
        <w:t>must ensure LCT is utilised to</w:t>
      </w:r>
      <w:r w:rsidRPr="009B6A29">
        <w:rPr>
          <w:rFonts w:eastAsia="Arial"/>
          <w:lang w:val="en-US" w:eastAsia="en-US"/>
        </w:rPr>
        <w:t>:</w:t>
      </w:r>
    </w:p>
    <w:p w14:paraId="0B8B370A" w14:textId="759C294D" w:rsidR="00BE754D" w:rsidRPr="00930A78" w:rsidRDefault="00BE754D" w:rsidP="00F64F38">
      <w:pPr>
        <w:pStyle w:val="ListParagraph"/>
        <w:numPr>
          <w:ilvl w:val="0"/>
          <w:numId w:val="31"/>
        </w:numPr>
        <w:suppressAutoHyphens/>
        <w:spacing w:after="60"/>
        <w:jc w:val="both"/>
        <w:rPr>
          <w:rFonts w:ascii="Arial" w:hAnsi="Arial" w:cs="Arial"/>
          <w:sz w:val="22"/>
          <w:szCs w:val="22"/>
        </w:rPr>
      </w:pPr>
      <w:r w:rsidRPr="00930A78">
        <w:rPr>
          <w:rFonts w:ascii="Arial" w:hAnsi="Arial" w:cs="Arial"/>
          <w:sz w:val="22"/>
          <w:szCs w:val="22"/>
        </w:rPr>
        <w:t xml:space="preserve">promote the client’s individual development, including assisting the person to achieve rehabilitative and habilitative goals; </w:t>
      </w:r>
    </w:p>
    <w:p w14:paraId="76CB3034" w14:textId="77777777" w:rsidR="00BE754D" w:rsidRPr="00930A78" w:rsidRDefault="00BE754D" w:rsidP="00F64F38">
      <w:pPr>
        <w:pStyle w:val="ListParagraph"/>
        <w:numPr>
          <w:ilvl w:val="0"/>
          <w:numId w:val="31"/>
        </w:numPr>
        <w:suppressAutoHyphens/>
        <w:spacing w:after="60"/>
        <w:jc w:val="both"/>
        <w:rPr>
          <w:rFonts w:ascii="Arial" w:hAnsi="Arial" w:cs="Arial"/>
          <w:sz w:val="22"/>
          <w:szCs w:val="22"/>
        </w:rPr>
      </w:pPr>
      <w:r w:rsidRPr="00930A78">
        <w:rPr>
          <w:rFonts w:ascii="Arial" w:hAnsi="Arial" w:cs="Arial"/>
          <w:sz w:val="22"/>
          <w:szCs w:val="22"/>
        </w:rPr>
        <w:t>promote quality of life;</w:t>
      </w:r>
    </w:p>
    <w:p w14:paraId="6C053638" w14:textId="02E960B8" w:rsidR="00BE754D" w:rsidRPr="00930A78" w:rsidRDefault="00BE754D" w:rsidP="00F64F38">
      <w:pPr>
        <w:pStyle w:val="ListParagraph"/>
        <w:numPr>
          <w:ilvl w:val="0"/>
          <w:numId w:val="31"/>
        </w:numPr>
        <w:suppressAutoHyphens/>
        <w:spacing w:after="60"/>
        <w:jc w:val="both"/>
        <w:rPr>
          <w:rFonts w:ascii="Arial" w:eastAsia="Arial" w:hAnsi="Arial" w:cs="Arial"/>
          <w:sz w:val="22"/>
          <w:szCs w:val="22"/>
        </w:rPr>
      </w:pPr>
      <w:r w:rsidRPr="00930A78">
        <w:rPr>
          <w:rFonts w:ascii="Arial" w:hAnsi="Arial" w:cs="Arial"/>
          <w:sz w:val="22"/>
          <w:szCs w:val="22"/>
        </w:rPr>
        <w:t xml:space="preserve">enable the client to participate and be included in the community; </w:t>
      </w:r>
    </w:p>
    <w:p w14:paraId="1EFE01F3" w14:textId="76F63817" w:rsidR="00930A78" w:rsidRDefault="00BE754D" w:rsidP="00F64F38">
      <w:pPr>
        <w:pStyle w:val="ListParagraph"/>
        <w:numPr>
          <w:ilvl w:val="0"/>
          <w:numId w:val="31"/>
        </w:numPr>
        <w:suppressAutoHyphens/>
        <w:spacing w:after="60"/>
        <w:jc w:val="both"/>
        <w:rPr>
          <w:rFonts w:ascii="Arial" w:hAnsi="Arial" w:cs="Arial"/>
          <w:sz w:val="22"/>
          <w:szCs w:val="22"/>
        </w:rPr>
      </w:pPr>
      <w:r w:rsidRPr="00930A78">
        <w:rPr>
          <w:rFonts w:ascii="Arial" w:hAnsi="Arial" w:cs="Arial"/>
          <w:sz w:val="22"/>
          <w:szCs w:val="22"/>
        </w:rPr>
        <w:t>enable the client to enjoy, maintain, protect and develop their identity and cultural heritage</w:t>
      </w:r>
      <w:r w:rsidR="00A24230">
        <w:rPr>
          <w:rFonts w:ascii="Arial" w:hAnsi="Arial" w:cs="Arial"/>
          <w:sz w:val="22"/>
          <w:szCs w:val="22"/>
        </w:rPr>
        <w:t>;</w:t>
      </w:r>
      <w:r w:rsidR="003F6C5C">
        <w:rPr>
          <w:rFonts w:ascii="Arial" w:hAnsi="Arial" w:cs="Arial"/>
          <w:sz w:val="22"/>
          <w:szCs w:val="22"/>
        </w:rPr>
        <w:t xml:space="preserve"> and</w:t>
      </w:r>
    </w:p>
    <w:p w14:paraId="25237556" w14:textId="780049E4" w:rsidR="003F6C5C" w:rsidRDefault="00792024" w:rsidP="00F64F38">
      <w:pPr>
        <w:pStyle w:val="ListParagraph"/>
        <w:numPr>
          <w:ilvl w:val="0"/>
          <w:numId w:val="31"/>
        </w:numPr>
        <w:suppressAutoHyphens/>
        <w:spacing w:after="60"/>
        <w:jc w:val="both"/>
        <w:rPr>
          <w:rFonts w:ascii="Arial" w:hAnsi="Arial" w:cs="Arial"/>
          <w:sz w:val="22"/>
          <w:szCs w:val="22"/>
        </w:rPr>
      </w:pPr>
      <w:r>
        <w:rPr>
          <w:rFonts w:ascii="Arial" w:hAnsi="Arial" w:cs="Arial"/>
          <w:sz w:val="22"/>
          <w:szCs w:val="22"/>
        </w:rPr>
        <w:t xml:space="preserve">assist in </w:t>
      </w:r>
      <w:r w:rsidR="003F6C5C">
        <w:rPr>
          <w:rFonts w:ascii="Arial" w:hAnsi="Arial" w:cs="Arial"/>
          <w:sz w:val="22"/>
          <w:szCs w:val="22"/>
        </w:rPr>
        <w:t xml:space="preserve">transition planning </w:t>
      </w:r>
      <w:r w:rsidR="00417BB5">
        <w:rPr>
          <w:rFonts w:ascii="Arial" w:hAnsi="Arial" w:cs="Arial"/>
          <w:sz w:val="22"/>
          <w:szCs w:val="22"/>
        </w:rPr>
        <w:t xml:space="preserve">for the client’s safe return to </w:t>
      </w:r>
      <w:r w:rsidR="003F6C5C">
        <w:rPr>
          <w:rFonts w:ascii="Arial" w:hAnsi="Arial" w:cs="Arial"/>
          <w:sz w:val="22"/>
          <w:szCs w:val="22"/>
        </w:rPr>
        <w:t>the community.</w:t>
      </w:r>
    </w:p>
    <w:p w14:paraId="119D87A5" w14:textId="77777777" w:rsidR="00930A78" w:rsidRDefault="00930A78" w:rsidP="00F64F38">
      <w:pPr>
        <w:pStyle w:val="ListParagraph"/>
        <w:suppressAutoHyphens/>
        <w:spacing w:after="60"/>
        <w:ind w:left="646"/>
        <w:jc w:val="both"/>
        <w:rPr>
          <w:rFonts w:ascii="Arial" w:hAnsi="Arial" w:cs="Arial"/>
          <w:sz w:val="22"/>
          <w:szCs w:val="22"/>
        </w:rPr>
      </w:pPr>
    </w:p>
    <w:p w14:paraId="6369798A" w14:textId="23B268E9" w:rsidR="00BE754D" w:rsidRPr="00930A78" w:rsidRDefault="00BE754D" w:rsidP="00F64F38">
      <w:pPr>
        <w:jc w:val="both"/>
        <w:rPr>
          <w:rFonts w:cs="Arial"/>
          <w:szCs w:val="22"/>
        </w:rPr>
      </w:pPr>
      <w:r>
        <w:t xml:space="preserve">Where the MHC or MHRT </w:t>
      </w:r>
      <w:r w:rsidR="006B304E">
        <w:t xml:space="preserve">has </w:t>
      </w:r>
      <w:r>
        <w:t xml:space="preserve">approved LCT for a client, it is </w:t>
      </w:r>
      <w:r w:rsidR="00417BB5">
        <w:t xml:space="preserve">an </w:t>
      </w:r>
      <w:r>
        <w:t>important</w:t>
      </w:r>
      <w:r w:rsidR="00417BB5">
        <w:t xml:space="preserve"> element of the client’s rehabilitation and an expectation that the Senior Practitioner</w:t>
      </w:r>
      <w:r w:rsidR="006B304E">
        <w:t>, where clinically justified,</w:t>
      </w:r>
      <w:r w:rsidR="00417BB5">
        <w:t xml:space="preserve"> will give effect to the MHC or MHRT decision and facilitate appropriate </w:t>
      </w:r>
      <w:r>
        <w:t>access the community</w:t>
      </w:r>
      <w:r w:rsidR="00417BB5">
        <w:t xml:space="preserve"> treatment. </w:t>
      </w:r>
      <w:r>
        <w:t xml:space="preserve">All FDS staff are responsible for contributing and facilitating safe opportunities for the client to access the community. This may involve identifying community activities related to client goals, </w:t>
      </w:r>
      <w:r w:rsidRPr="006D39A6">
        <w:t xml:space="preserve">undertaking risk assessments, completing LCT event plans, managing resources </w:t>
      </w:r>
      <w:r>
        <w:t>and preparing and supporting the client to access the community.</w:t>
      </w:r>
    </w:p>
    <w:p w14:paraId="6068909A" w14:textId="67A1DEC4" w:rsidR="00BE754D" w:rsidRPr="00402199" w:rsidRDefault="00BE754D" w:rsidP="00F64F38">
      <w:pPr>
        <w:jc w:val="both"/>
        <w:rPr>
          <w:i/>
        </w:rPr>
      </w:pPr>
      <w:r w:rsidRPr="00402199">
        <w:rPr>
          <w:i/>
        </w:rPr>
        <w:t>Individual Development Plan</w:t>
      </w:r>
      <w:r>
        <w:rPr>
          <w:i/>
        </w:rPr>
        <w:t xml:space="preserve"> (IDP)</w:t>
      </w:r>
      <w:r w:rsidR="00F947D0">
        <w:rPr>
          <w:i/>
        </w:rPr>
        <w:t xml:space="preserve"> and LCT</w:t>
      </w:r>
    </w:p>
    <w:p w14:paraId="78AC16C3" w14:textId="58C85601" w:rsidR="006B304E" w:rsidRDefault="00BE754D" w:rsidP="00F64F38">
      <w:pPr>
        <w:jc w:val="both"/>
      </w:pPr>
      <w:r>
        <w:t xml:space="preserve">Where </w:t>
      </w:r>
      <w:r w:rsidR="006B304E">
        <w:t>the MHC or MHRT has approved LCT for a client, and the Senior Practitioner supports the clinical application of LCT for the client</w:t>
      </w:r>
      <w:r>
        <w:t>, the</w:t>
      </w:r>
      <w:r w:rsidR="006B304E">
        <w:t xml:space="preserve"> client’s Individual Development Plan (IDP)</w:t>
      </w:r>
      <w:r>
        <w:t xml:space="preserve"> must give effect to the</w:t>
      </w:r>
      <w:r w:rsidR="006B304E">
        <w:t xml:space="preserve"> MHC or MHRT</w:t>
      </w:r>
      <w:r>
        <w:t xml:space="preserve"> order</w:t>
      </w:r>
      <w:r w:rsidR="006B304E">
        <w:t xml:space="preserve"> (see sections 20 and 21 of the Act). </w:t>
      </w:r>
    </w:p>
    <w:p w14:paraId="26804C3F" w14:textId="489DB191" w:rsidR="00BE754D" w:rsidRDefault="00F947D0" w:rsidP="00F64F38">
      <w:pPr>
        <w:jc w:val="both"/>
      </w:pPr>
      <w:r>
        <w:t xml:space="preserve">When planning for a client’s use of LCT the </w:t>
      </w:r>
      <w:r w:rsidR="00BE754D">
        <w:t>Senior Practitioner</w:t>
      </w:r>
      <w:r w:rsidR="006B304E">
        <w:t xml:space="preserve"> should </w:t>
      </w:r>
      <w:r>
        <w:t xml:space="preserve">consider, but is not limited to, the following issues: </w:t>
      </w:r>
    </w:p>
    <w:p w14:paraId="774DAB8A" w14:textId="49B3A0CA" w:rsidR="00F947D0" w:rsidRDefault="00F947D0" w:rsidP="00F64F38">
      <w:pPr>
        <w:pStyle w:val="ListParagraph"/>
        <w:numPr>
          <w:ilvl w:val="0"/>
          <w:numId w:val="31"/>
        </w:numPr>
        <w:suppressAutoHyphens/>
        <w:spacing w:line="240" w:lineRule="atLeast"/>
        <w:jc w:val="both"/>
        <w:rPr>
          <w:rFonts w:ascii="Arial" w:hAnsi="Arial" w:cs="Arial"/>
          <w:sz w:val="22"/>
          <w:szCs w:val="22"/>
        </w:rPr>
      </w:pPr>
      <w:r>
        <w:rPr>
          <w:rFonts w:ascii="Arial" w:hAnsi="Arial" w:cs="Arial"/>
          <w:sz w:val="22"/>
          <w:szCs w:val="22"/>
        </w:rPr>
        <w:t xml:space="preserve">the </w:t>
      </w:r>
      <w:r w:rsidRPr="00930A78">
        <w:rPr>
          <w:rFonts w:ascii="Arial" w:hAnsi="Arial" w:cs="Arial"/>
          <w:sz w:val="22"/>
          <w:szCs w:val="22"/>
        </w:rPr>
        <w:t>purpose and frequency of the LCT</w:t>
      </w:r>
    </w:p>
    <w:p w14:paraId="672F4996" w14:textId="4FAABDC2" w:rsidR="00BE754D" w:rsidRPr="00F947D0" w:rsidRDefault="00BE754D" w:rsidP="005960CE">
      <w:pPr>
        <w:pStyle w:val="ListParagraph"/>
        <w:numPr>
          <w:ilvl w:val="0"/>
          <w:numId w:val="31"/>
        </w:numPr>
        <w:suppressAutoHyphens/>
        <w:spacing w:line="240" w:lineRule="atLeast"/>
        <w:jc w:val="both"/>
        <w:rPr>
          <w:rFonts w:ascii="Arial" w:hAnsi="Arial" w:cs="Arial"/>
          <w:sz w:val="22"/>
          <w:szCs w:val="22"/>
        </w:rPr>
      </w:pPr>
      <w:r w:rsidRPr="005960CE">
        <w:rPr>
          <w:rFonts w:ascii="Arial" w:hAnsi="Arial" w:cs="Arial"/>
          <w:sz w:val="22"/>
          <w:szCs w:val="22"/>
        </w:rPr>
        <w:t>the duration of LCT, including whether or not it is continuous;</w:t>
      </w:r>
      <w:r w:rsidR="00F947D0" w:rsidRPr="005960CE">
        <w:rPr>
          <w:rFonts w:ascii="Arial" w:hAnsi="Arial" w:cs="Arial"/>
          <w:sz w:val="22"/>
          <w:szCs w:val="22"/>
        </w:rPr>
        <w:t xml:space="preserve"> </w:t>
      </w:r>
    </w:p>
    <w:p w14:paraId="66E0D5AF" w14:textId="643EAC77" w:rsidR="00F947D0" w:rsidRPr="0096478E" w:rsidRDefault="00BE754D">
      <w:pPr>
        <w:pStyle w:val="ListParagraph"/>
        <w:numPr>
          <w:ilvl w:val="0"/>
          <w:numId w:val="31"/>
        </w:numPr>
        <w:suppressAutoHyphens/>
        <w:spacing w:line="240" w:lineRule="atLeast"/>
        <w:jc w:val="both"/>
        <w:rPr>
          <w:rFonts w:ascii="Arial" w:hAnsi="Arial" w:cs="Arial"/>
          <w:sz w:val="22"/>
          <w:szCs w:val="22"/>
        </w:rPr>
      </w:pPr>
      <w:r w:rsidRPr="00930A78">
        <w:rPr>
          <w:rFonts w:ascii="Arial" w:hAnsi="Arial" w:cs="Arial"/>
          <w:sz w:val="22"/>
          <w:szCs w:val="22"/>
        </w:rPr>
        <w:t>any conditions to manage the client’s care and support in the community</w:t>
      </w:r>
      <w:r w:rsidR="00F947D0">
        <w:rPr>
          <w:rFonts w:ascii="Arial" w:hAnsi="Arial" w:cs="Arial"/>
          <w:sz w:val="22"/>
          <w:szCs w:val="22"/>
        </w:rPr>
        <w:t>;</w:t>
      </w:r>
      <w:r w:rsidRPr="00930A78">
        <w:rPr>
          <w:rFonts w:ascii="Arial" w:hAnsi="Arial" w:cs="Arial"/>
          <w:sz w:val="22"/>
          <w:szCs w:val="22"/>
        </w:rPr>
        <w:t xml:space="preserve"> and </w:t>
      </w:r>
    </w:p>
    <w:p w14:paraId="1C26EFAA" w14:textId="72E2550A" w:rsidR="00BE754D" w:rsidRDefault="00F947D0">
      <w:pPr>
        <w:pStyle w:val="ListParagraph"/>
        <w:numPr>
          <w:ilvl w:val="0"/>
          <w:numId w:val="31"/>
        </w:numPr>
        <w:suppressAutoHyphens/>
        <w:spacing w:line="240" w:lineRule="atLeast"/>
        <w:jc w:val="both"/>
        <w:rPr>
          <w:rFonts w:ascii="Arial" w:hAnsi="Arial" w:cs="Arial"/>
          <w:sz w:val="22"/>
          <w:szCs w:val="22"/>
        </w:rPr>
      </w:pPr>
      <w:r w:rsidRPr="005960CE">
        <w:rPr>
          <w:rFonts w:ascii="Arial" w:hAnsi="Arial" w:cs="Arial"/>
          <w:sz w:val="22"/>
          <w:szCs w:val="22"/>
        </w:rPr>
        <w:t xml:space="preserve">any </w:t>
      </w:r>
      <w:r w:rsidR="00BE754D" w:rsidRPr="005960CE">
        <w:rPr>
          <w:rFonts w:ascii="Arial" w:hAnsi="Arial" w:cs="Arial"/>
          <w:sz w:val="22"/>
          <w:szCs w:val="22"/>
        </w:rPr>
        <w:t>conditions required to protect the</w:t>
      </w:r>
      <w:r>
        <w:rPr>
          <w:rFonts w:ascii="Arial" w:hAnsi="Arial" w:cs="Arial"/>
          <w:sz w:val="22"/>
          <w:szCs w:val="22"/>
        </w:rPr>
        <w:t xml:space="preserve"> client</w:t>
      </w:r>
      <w:r w:rsidR="00BE754D" w:rsidRPr="00F947D0">
        <w:rPr>
          <w:rFonts w:ascii="Arial" w:hAnsi="Arial" w:cs="Arial"/>
          <w:sz w:val="22"/>
          <w:szCs w:val="22"/>
        </w:rPr>
        <w:t xml:space="preserve"> health</w:t>
      </w:r>
      <w:r>
        <w:rPr>
          <w:rFonts w:ascii="Arial" w:hAnsi="Arial" w:cs="Arial"/>
          <w:sz w:val="22"/>
          <w:szCs w:val="22"/>
        </w:rPr>
        <w:t xml:space="preserve"> and</w:t>
      </w:r>
      <w:r w:rsidR="00BE754D" w:rsidRPr="00F947D0">
        <w:rPr>
          <w:rFonts w:ascii="Arial" w:hAnsi="Arial" w:cs="Arial"/>
          <w:sz w:val="22"/>
          <w:szCs w:val="22"/>
        </w:rPr>
        <w:t xml:space="preserve"> safety or the safety of others during the LCT</w:t>
      </w:r>
      <w:r>
        <w:rPr>
          <w:rFonts w:ascii="Arial" w:hAnsi="Arial" w:cs="Arial"/>
          <w:sz w:val="22"/>
          <w:szCs w:val="22"/>
        </w:rPr>
        <w:t xml:space="preserve"> </w:t>
      </w:r>
      <w:r w:rsidRPr="00930A78">
        <w:rPr>
          <w:rFonts w:ascii="Arial" w:hAnsi="Arial" w:cs="Arial"/>
          <w:sz w:val="22"/>
          <w:szCs w:val="22"/>
        </w:rPr>
        <w:t>including required escort or supervision</w:t>
      </w:r>
      <w:r w:rsidR="00BE754D" w:rsidRPr="005960CE">
        <w:rPr>
          <w:rFonts w:ascii="Arial" w:hAnsi="Arial" w:cs="Arial"/>
          <w:sz w:val="22"/>
          <w:szCs w:val="22"/>
        </w:rPr>
        <w:t>.</w:t>
      </w:r>
    </w:p>
    <w:p w14:paraId="6FE542A3" w14:textId="77777777" w:rsidR="0015248B" w:rsidRPr="00F947D0" w:rsidRDefault="0015248B" w:rsidP="0015248B">
      <w:pPr>
        <w:pStyle w:val="ListParagraph"/>
        <w:suppressAutoHyphens/>
        <w:spacing w:line="240" w:lineRule="atLeast"/>
        <w:ind w:left="646"/>
        <w:jc w:val="both"/>
        <w:rPr>
          <w:rFonts w:ascii="Arial" w:hAnsi="Arial" w:cs="Arial"/>
          <w:sz w:val="22"/>
          <w:szCs w:val="22"/>
        </w:rPr>
      </w:pPr>
    </w:p>
    <w:p w14:paraId="4C2B3508" w14:textId="77777777" w:rsidR="00BE754D" w:rsidRPr="00402199" w:rsidRDefault="00BE754D" w:rsidP="00F64F38">
      <w:pPr>
        <w:suppressAutoHyphens/>
        <w:spacing w:line="240" w:lineRule="atLeast"/>
        <w:jc w:val="both"/>
        <w:rPr>
          <w:i/>
        </w:rPr>
      </w:pPr>
      <w:r w:rsidRPr="00402199">
        <w:rPr>
          <w:i/>
        </w:rPr>
        <w:t xml:space="preserve">Limited Community Treatment </w:t>
      </w:r>
      <w:r>
        <w:rPr>
          <w:i/>
        </w:rPr>
        <w:t xml:space="preserve">Event </w:t>
      </w:r>
      <w:r w:rsidRPr="00402199">
        <w:rPr>
          <w:i/>
        </w:rPr>
        <w:t>Plan</w:t>
      </w:r>
    </w:p>
    <w:p w14:paraId="309E3EB0" w14:textId="61AFA785" w:rsidR="0015248B" w:rsidRDefault="00BE754D" w:rsidP="00F64F38">
      <w:pPr>
        <w:suppressAutoHyphens/>
        <w:spacing w:line="240" w:lineRule="atLeast"/>
        <w:jc w:val="both"/>
      </w:pPr>
      <w:r>
        <w:t xml:space="preserve">Forensic disability clients </w:t>
      </w:r>
      <w:r w:rsidR="00F947D0">
        <w:t xml:space="preserve">with approved </w:t>
      </w:r>
      <w:r>
        <w:t xml:space="preserve">LCT must have an LCT Event Plan </w:t>
      </w:r>
      <w:r w:rsidR="00F947D0">
        <w:t xml:space="preserve">that complies with the </w:t>
      </w:r>
      <w:r>
        <w:t xml:space="preserve">LCT conditions approved by the MHC or the MHRT. The LCT Event Plan must be authorised by a Senior Practitioner. For information pertaining to the LCT Event Plan content, see the </w:t>
      </w:r>
      <w:r w:rsidRPr="003C5B62">
        <w:rPr>
          <w:i/>
        </w:rPr>
        <w:t>Director of Forensic Disability Procedure – Community Treatment and Other Leave</w:t>
      </w:r>
      <w:r>
        <w:t>.</w:t>
      </w:r>
    </w:p>
    <w:p w14:paraId="2ABA75DB" w14:textId="77777777" w:rsidR="0015248B" w:rsidRDefault="0015248B">
      <w:pPr>
        <w:spacing w:after="0"/>
      </w:pPr>
      <w:r>
        <w:br w:type="page"/>
      </w:r>
    </w:p>
    <w:p w14:paraId="41D7A40E" w14:textId="77777777" w:rsidR="00BE754D" w:rsidRPr="0021215B" w:rsidRDefault="00BE754D" w:rsidP="00F64F38">
      <w:pPr>
        <w:pStyle w:val="Heading4"/>
        <w:numPr>
          <w:ilvl w:val="2"/>
          <w:numId w:val="16"/>
        </w:numPr>
        <w:jc w:val="both"/>
        <w:rPr>
          <w:rFonts w:ascii="Arial" w:hAnsi="Arial" w:cs="Arial"/>
          <w:sz w:val="22"/>
          <w:szCs w:val="22"/>
        </w:rPr>
      </w:pPr>
      <w:r w:rsidRPr="0021215B">
        <w:rPr>
          <w:rFonts w:ascii="Arial" w:hAnsi="Arial" w:cs="Arial"/>
          <w:sz w:val="22"/>
          <w:szCs w:val="22"/>
        </w:rPr>
        <w:lastRenderedPageBreak/>
        <w:t>Categories of LCT</w:t>
      </w:r>
    </w:p>
    <w:p w14:paraId="08BD76D2" w14:textId="77777777" w:rsidR="00BE754D" w:rsidRPr="00E81456" w:rsidRDefault="00BE754D" w:rsidP="00F64F38">
      <w:pPr>
        <w:suppressAutoHyphens/>
        <w:spacing w:line="240" w:lineRule="atLeast"/>
        <w:jc w:val="both"/>
      </w:pPr>
      <w:r>
        <w:t>A</w:t>
      </w:r>
      <w:r w:rsidRPr="00E81456">
        <w:t xml:space="preserve"> client may access LCT on the following basis:</w:t>
      </w:r>
    </w:p>
    <w:p w14:paraId="6783FF93" w14:textId="77777777" w:rsidR="00BE754D" w:rsidRPr="001F0590" w:rsidRDefault="00BE754D" w:rsidP="00F64F38">
      <w:pPr>
        <w:pStyle w:val="ListParagraph"/>
        <w:numPr>
          <w:ilvl w:val="0"/>
          <w:numId w:val="31"/>
        </w:numPr>
        <w:suppressAutoHyphens/>
        <w:spacing w:after="60"/>
        <w:jc w:val="both"/>
        <w:rPr>
          <w:rFonts w:ascii="Arial" w:hAnsi="Arial" w:cs="Arial"/>
          <w:sz w:val="22"/>
          <w:szCs w:val="22"/>
        </w:rPr>
      </w:pPr>
      <w:r w:rsidRPr="001F0590">
        <w:rPr>
          <w:rFonts w:ascii="Arial" w:hAnsi="Arial" w:cs="Arial"/>
          <w:b/>
          <w:sz w:val="22"/>
          <w:szCs w:val="22"/>
        </w:rPr>
        <w:t>Escorted absence</w:t>
      </w:r>
      <w:r w:rsidRPr="001F0590">
        <w:rPr>
          <w:rFonts w:ascii="Arial" w:hAnsi="Arial" w:cs="Arial"/>
          <w:sz w:val="22"/>
          <w:szCs w:val="22"/>
        </w:rPr>
        <w:t xml:space="preserve"> – is absence with staff from the FDS. </w:t>
      </w:r>
    </w:p>
    <w:p w14:paraId="4DF08776" w14:textId="77777777" w:rsidR="00BE754D" w:rsidRPr="001F0590" w:rsidRDefault="00BE754D" w:rsidP="00F64F38">
      <w:pPr>
        <w:pStyle w:val="ListParagraph"/>
        <w:numPr>
          <w:ilvl w:val="0"/>
          <w:numId w:val="31"/>
        </w:numPr>
        <w:suppressAutoHyphens/>
        <w:spacing w:after="60"/>
        <w:jc w:val="both"/>
        <w:rPr>
          <w:rFonts w:ascii="Arial" w:hAnsi="Arial" w:cs="Arial"/>
          <w:sz w:val="22"/>
          <w:szCs w:val="22"/>
        </w:rPr>
      </w:pPr>
      <w:r w:rsidRPr="001F0590">
        <w:rPr>
          <w:rFonts w:ascii="Arial" w:hAnsi="Arial" w:cs="Arial"/>
          <w:b/>
          <w:sz w:val="22"/>
          <w:szCs w:val="22"/>
        </w:rPr>
        <w:t>Supervised absence</w:t>
      </w:r>
      <w:r w:rsidRPr="001F0590">
        <w:rPr>
          <w:rFonts w:ascii="Arial" w:hAnsi="Arial" w:cs="Arial"/>
          <w:sz w:val="22"/>
          <w:szCs w:val="22"/>
        </w:rPr>
        <w:t xml:space="preserve"> – is absence with any other person, approved by the Senior Practitioner, who is not a clinical staff member of the FDS. </w:t>
      </w:r>
    </w:p>
    <w:p w14:paraId="1F89AAA3" w14:textId="716F7A36" w:rsidR="00BE754D" w:rsidRDefault="00BE754D" w:rsidP="00F64F38">
      <w:pPr>
        <w:pStyle w:val="ListParagraph"/>
        <w:numPr>
          <w:ilvl w:val="0"/>
          <w:numId w:val="31"/>
        </w:numPr>
        <w:suppressAutoHyphens/>
        <w:spacing w:after="60"/>
        <w:jc w:val="both"/>
        <w:rPr>
          <w:rFonts w:ascii="Arial" w:hAnsi="Arial" w:cs="Arial"/>
          <w:sz w:val="22"/>
          <w:szCs w:val="22"/>
        </w:rPr>
      </w:pPr>
      <w:r w:rsidRPr="001F0590">
        <w:rPr>
          <w:rFonts w:ascii="Arial" w:hAnsi="Arial" w:cs="Arial"/>
          <w:b/>
          <w:sz w:val="22"/>
          <w:szCs w:val="22"/>
        </w:rPr>
        <w:t>Unsupervised absence</w:t>
      </w:r>
      <w:r w:rsidRPr="001F0590">
        <w:rPr>
          <w:rFonts w:ascii="Arial" w:hAnsi="Arial" w:cs="Arial"/>
          <w:sz w:val="22"/>
          <w:szCs w:val="22"/>
        </w:rPr>
        <w:t xml:space="preserve"> – the client is not accompanied by anyone acting in a supervisory or escort nature while on LCT.</w:t>
      </w:r>
    </w:p>
    <w:p w14:paraId="5CB052BD" w14:textId="77777777" w:rsidR="0015248B" w:rsidRPr="001F0590" w:rsidRDefault="0015248B" w:rsidP="0015248B">
      <w:pPr>
        <w:pStyle w:val="ListParagraph"/>
        <w:suppressAutoHyphens/>
        <w:spacing w:after="60"/>
        <w:ind w:left="646"/>
        <w:jc w:val="both"/>
        <w:rPr>
          <w:rFonts w:ascii="Arial" w:hAnsi="Arial" w:cs="Arial"/>
          <w:sz w:val="22"/>
          <w:szCs w:val="22"/>
        </w:rPr>
      </w:pPr>
    </w:p>
    <w:p w14:paraId="381BB988" w14:textId="01E10401" w:rsidR="00BE754D" w:rsidRPr="0015248B" w:rsidRDefault="00BE754D" w:rsidP="0015248B">
      <w:pPr>
        <w:widowControl w:val="0"/>
        <w:ind w:right="122"/>
        <w:jc w:val="both"/>
        <w:rPr>
          <w:lang w:val="en-US"/>
        </w:rPr>
      </w:pPr>
      <w:r w:rsidRPr="0015248B">
        <w:rPr>
          <w:lang w:val="en-US"/>
        </w:rPr>
        <w:t>The Senior Practitioner is responsible for authorising all LCT, and</w:t>
      </w:r>
      <w:r w:rsidR="00F947D0" w:rsidRPr="0015248B">
        <w:rPr>
          <w:lang w:val="en-US"/>
        </w:rPr>
        <w:t xml:space="preserve"> for ensuring, where applicable, that </w:t>
      </w:r>
      <w:r w:rsidRPr="0015248B">
        <w:rPr>
          <w:lang w:val="en-US"/>
        </w:rPr>
        <w:t xml:space="preserve">an appropriately qualified person escorts or supervises the client when the client is </w:t>
      </w:r>
      <w:r w:rsidR="00F947D0" w:rsidRPr="0015248B">
        <w:rPr>
          <w:lang w:val="en-US"/>
        </w:rPr>
        <w:t xml:space="preserve">participating in </w:t>
      </w:r>
      <w:r w:rsidRPr="0015248B">
        <w:rPr>
          <w:lang w:val="en-US"/>
        </w:rPr>
        <w:t>LCT.</w:t>
      </w:r>
    </w:p>
    <w:p w14:paraId="1AA96442" w14:textId="77777777" w:rsidR="00BE754D" w:rsidRPr="00A945FF" w:rsidRDefault="00BE754D" w:rsidP="00F64F38">
      <w:pPr>
        <w:pStyle w:val="Heading4"/>
        <w:numPr>
          <w:ilvl w:val="2"/>
          <w:numId w:val="16"/>
        </w:numPr>
        <w:jc w:val="both"/>
        <w:rPr>
          <w:rFonts w:ascii="Arial" w:hAnsi="Arial" w:cs="Arial"/>
          <w:sz w:val="22"/>
          <w:szCs w:val="22"/>
        </w:rPr>
      </w:pPr>
      <w:r w:rsidRPr="00A945FF">
        <w:rPr>
          <w:rFonts w:ascii="Arial" w:hAnsi="Arial" w:cs="Arial"/>
          <w:sz w:val="22"/>
          <w:szCs w:val="22"/>
        </w:rPr>
        <w:t>Duration of LCT</w:t>
      </w:r>
    </w:p>
    <w:p w14:paraId="6F780740" w14:textId="77777777" w:rsidR="00BE754D" w:rsidRPr="00E81456" w:rsidRDefault="00BE754D" w:rsidP="00F64F38">
      <w:pPr>
        <w:suppressAutoHyphens/>
        <w:spacing w:line="240" w:lineRule="atLeast"/>
        <w:jc w:val="both"/>
      </w:pPr>
      <w:r w:rsidRPr="00E81456">
        <w:t xml:space="preserve">The duration of LCT will be determined by </w:t>
      </w:r>
      <w:r>
        <w:t>an</w:t>
      </w:r>
      <w:r w:rsidRPr="00E81456">
        <w:t xml:space="preserve"> assessment of the client’s </w:t>
      </w:r>
      <w:r>
        <w:t xml:space="preserve">risk, </w:t>
      </w:r>
      <w:r w:rsidRPr="00E81456">
        <w:t xml:space="preserve">needs and progress towards identified </w:t>
      </w:r>
      <w:r>
        <w:t xml:space="preserve">rehabilitation and habilitation </w:t>
      </w:r>
      <w:r w:rsidRPr="00E81456">
        <w:t>outcomes. It may comprise:</w:t>
      </w:r>
    </w:p>
    <w:p w14:paraId="6ABB02D5" w14:textId="77777777" w:rsidR="00BE754D" w:rsidRPr="001F0590" w:rsidRDefault="00BE754D" w:rsidP="00F64F38">
      <w:pPr>
        <w:pStyle w:val="ListParagraph"/>
        <w:numPr>
          <w:ilvl w:val="0"/>
          <w:numId w:val="31"/>
        </w:numPr>
        <w:suppressAutoHyphens/>
        <w:jc w:val="both"/>
        <w:rPr>
          <w:rFonts w:ascii="Arial" w:hAnsi="Arial" w:cs="Arial"/>
          <w:sz w:val="22"/>
          <w:szCs w:val="22"/>
        </w:rPr>
      </w:pPr>
      <w:r w:rsidRPr="001F0590">
        <w:rPr>
          <w:rFonts w:ascii="Arial" w:hAnsi="Arial" w:cs="Arial"/>
          <w:sz w:val="22"/>
          <w:szCs w:val="22"/>
        </w:rPr>
        <w:t>specified periods during the day or days;</w:t>
      </w:r>
    </w:p>
    <w:p w14:paraId="23688477" w14:textId="77777777" w:rsidR="00BE754D" w:rsidRPr="001F0590" w:rsidRDefault="00BE754D" w:rsidP="00F64F38">
      <w:pPr>
        <w:pStyle w:val="ListParagraph"/>
        <w:numPr>
          <w:ilvl w:val="0"/>
          <w:numId w:val="31"/>
        </w:numPr>
        <w:suppressAutoHyphens/>
        <w:jc w:val="both"/>
        <w:rPr>
          <w:rFonts w:ascii="Arial" w:hAnsi="Arial" w:cs="Arial"/>
          <w:sz w:val="22"/>
          <w:szCs w:val="22"/>
        </w:rPr>
      </w:pPr>
      <w:r w:rsidRPr="001F0590">
        <w:rPr>
          <w:rFonts w:ascii="Arial" w:hAnsi="Arial" w:cs="Arial"/>
          <w:sz w:val="22"/>
          <w:szCs w:val="22"/>
        </w:rPr>
        <w:t>overnight leave; and</w:t>
      </w:r>
    </w:p>
    <w:p w14:paraId="7BAE8FF6" w14:textId="77777777" w:rsidR="00915B01" w:rsidRPr="001F0590" w:rsidRDefault="00BE754D" w:rsidP="00F64F38">
      <w:pPr>
        <w:pStyle w:val="ListParagraph"/>
        <w:numPr>
          <w:ilvl w:val="0"/>
          <w:numId w:val="31"/>
        </w:numPr>
        <w:suppressAutoHyphens/>
        <w:jc w:val="both"/>
        <w:rPr>
          <w:rFonts w:ascii="Arial" w:hAnsi="Arial" w:cs="Arial"/>
          <w:sz w:val="22"/>
          <w:szCs w:val="22"/>
        </w:rPr>
      </w:pPr>
      <w:r w:rsidRPr="001F0590">
        <w:rPr>
          <w:rFonts w:ascii="Arial" w:hAnsi="Arial" w:cs="Arial"/>
          <w:sz w:val="22"/>
          <w:szCs w:val="22"/>
        </w:rPr>
        <w:t>more than overnight leave.</w:t>
      </w:r>
    </w:p>
    <w:p w14:paraId="72D5BC30" w14:textId="77777777" w:rsidR="00915B01" w:rsidRDefault="00915B01" w:rsidP="00F64F38">
      <w:pPr>
        <w:suppressAutoHyphens/>
        <w:spacing w:after="0"/>
        <w:jc w:val="both"/>
      </w:pPr>
    </w:p>
    <w:p w14:paraId="0CA165F7" w14:textId="77777777" w:rsidR="00BE754D" w:rsidRPr="00915B01" w:rsidRDefault="00BE754D" w:rsidP="00F64F38">
      <w:pPr>
        <w:suppressAutoHyphens/>
        <w:spacing w:after="0"/>
        <w:jc w:val="both"/>
      </w:pPr>
      <w:r w:rsidRPr="006539BB">
        <w:t>The duration of any LCT must not exceed the maximum period approved by the</w:t>
      </w:r>
      <w:r w:rsidRPr="00915B01">
        <w:rPr>
          <w:i/>
          <w:lang w:val="en-US"/>
        </w:rPr>
        <w:t xml:space="preserve"> </w:t>
      </w:r>
      <w:r w:rsidRPr="00915B01">
        <w:rPr>
          <w:lang w:val="en-US"/>
        </w:rPr>
        <w:t>MHC or MHRT.</w:t>
      </w:r>
    </w:p>
    <w:p w14:paraId="26D17732" w14:textId="77777777" w:rsidR="00BE754D" w:rsidRPr="00A945FF" w:rsidRDefault="00BE754D" w:rsidP="00F64F38">
      <w:pPr>
        <w:pStyle w:val="Heading4"/>
        <w:numPr>
          <w:ilvl w:val="2"/>
          <w:numId w:val="16"/>
        </w:numPr>
        <w:jc w:val="both"/>
        <w:rPr>
          <w:rFonts w:ascii="Arial" w:hAnsi="Arial" w:cs="Arial"/>
          <w:sz w:val="22"/>
          <w:szCs w:val="22"/>
          <w:lang w:val="en-US"/>
        </w:rPr>
      </w:pPr>
      <w:r w:rsidRPr="00A945FF">
        <w:rPr>
          <w:rFonts w:ascii="Arial" w:hAnsi="Arial" w:cs="Arial"/>
          <w:sz w:val="22"/>
          <w:szCs w:val="22"/>
          <w:lang w:val="en-US"/>
        </w:rPr>
        <w:t>Authorising LCT – Senior Practitioner</w:t>
      </w:r>
    </w:p>
    <w:p w14:paraId="4CD6710F" w14:textId="77777777" w:rsidR="00BE754D" w:rsidRDefault="00BE754D" w:rsidP="00F64F38">
      <w:pPr>
        <w:keepNext/>
        <w:keepLines/>
        <w:widowControl w:val="0"/>
        <w:ind w:right="122"/>
        <w:jc w:val="both"/>
        <w:rPr>
          <w:lang w:val="en-US"/>
        </w:rPr>
      </w:pPr>
      <w:r>
        <w:rPr>
          <w:rFonts w:eastAsia="Arial"/>
          <w:spacing w:val="-5"/>
          <w:lang w:val="en-US" w:eastAsia="en-US"/>
        </w:rPr>
        <w:t xml:space="preserve">A </w:t>
      </w:r>
      <w:r>
        <w:rPr>
          <w:rFonts w:eastAsia="Arial"/>
          <w:lang w:val="en-US" w:eastAsia="en-US"/>
        </w:rPr>
        <w:t>Senior Practitioner</w:t>
      </w:r>
      <w:r w:rsidRPr="009B6A29">
        <w:rPr>
          <w:rFonts w:eastAsia="Arial"/>
          <w:spacing w:val="-8"/>
          <w:lang w:val="en-US" w:eastAsia="en-US"/>
        </w:rPr>
        <w:t xml:space="preserve"> </w:t>
      </w:r>
      <w:r w:rsidRPr="009B6A29">
        <w:rPr>
          <w:rFonts w:eastAsia="Arial"/>
          <w:spacing w:val="1"/>
          <w:lang w:val="en-US" w:eastAsia="en-US"/>
        </w:rPr>
        <w:t>ma</w:t>
      </w:r>
      <w:r w:rsidRPr="009B6A29">
        <w:rPr>
          <w:rFonts w:eastAsia="Arial"/>
          <w:spacing w:val="-3"/>
          <w:lang w:val="en-US" w:eastAsia="en-US"/>
        </w:rPr>
        <w:t>y</w:t>
      </w:r>
      <w:r w:rsidRPr="009B6A29">
        <w:rPr>
          <w:rFonts w:eastAsia="Arial"/>
          <w:spacing w:val="-7"/>
          <w:lang w:val="en-US" w:eastAsia="en-US"/>
        </w:rPr>
        <w:t xml:space="preserve"> </w:t>
      </w:r>
      <w:r w:rsidRPr="009B6A29">
        <w:rPr>
          <w:rFonts w:eastAsia="Arial"/>
          <w:spacing w:val="-2"/>
          <w:lang w:val="en-US" w:eastAsia="en-US"/>
        </w:rPr>
        <w:t>a</w:t>
      </w:r>
      <w:r w:rsidRPr="009B6A29">
        <w:rPr>
          <w:rFonts w:eastAsia="Arial"/>
          <w:spacing w:val="1"/>
          <w:lang w:val="en-US" w:eastAsia="en-US"/>
        </w:rPr>
        <w:t>u</w:t>
      </w:r>
      <w:r w:rsidRPr="009B6A29">
        <w:rPr>
          <w:rFonts w:eastAsia="Arial"/>
          <w:lang w:val="en-US" w:eastAsia="en-US"/>
        </w:rPr>
        <w:t>t</w:t>
      </w:r>
      <w:r w:rsidRPr="009B6A29">
        <w:rPr>
          <w:rFonts w:eastAsia="Arial"/>
          <w:spacing w:val="-2"/>
          <w:lang w:val="en-US" w:eastAsia="en-US"/>
        </w:rPr>
        <w:t>h</w:t>
      </w:r>
      <w:r w:rsidRPr="009B6A29">
        <w:rPr>
          <w:rFonts w:eastAsia="Arial"/>
          <w:spacing w:val="1"/>
          <w:lang w:val="en-US" w:eastAsia="en-US"/>
        </w:rPr>
        <w:t>o</w:t>
      </w:r>
      <w:r w:rsidRPr="009B6A29">
        <w:rPr>
          <w:rFonts w:eastAsia="Arial"/>
          <w:spacing w:val="-1"/>
          <w:lang w:val="en-US" w:eastAsia="en-US"/>
        </w:rPr>
        <w:t>ri</w:t>
      </w:r>
      <w:r w:rsidRPr="009B6A29">
        <w:rPr>
          <w:rFonts w:eastAsia="Arial"/>
          <w:lang w:val="en-US" w:eastAsia="en-US"/>
        </w:rPr>
        <w:t>se</w:t>
      </w:r>
      <w:r w:rsidRPr="009B6A29">
        <w:rPr>
          <w:rFonts w:eastAsia="Arial"/>
          <w:spacing w:val="-6"/>
          <w:lang w:val="en-US" w:eastAsia="en-US"/>
        </w:rPr>
        <w:t xml:space="preserve"> </w:t>
      </w:r>
      <w:r w:rsidRPr="009B6A29">
        <w:rPr>
          <w:rFonts w:eastAsia="Arial"/>
          <w:spacing w:val="1"/>
          <w:lang w:val="en-US" w:eastAsia="en-US"/>
        </w:rPr>
        <w:t>L</w:t>
      </w:r>
      <w:r w:rsidRPr="009B6A29">
        <w:rPr>
          <w:rFonts w:eastAsia="Arial"/>
          <w:spacing w:val="-3"/>
          <w:lang w:val="en-US" w:eastAsia="en-US"/>
        </w:rPr>
        <w:t>C</w:t>
      </w:r>
      <w:r w:rsidRPr="009B6A29">
        <w:rPr>
          <w:rFonts w:eastAsia="Arial"/>
          <w:lang w:val="en-US" w:eastAsia="en-US"/>
        </w:rPr>
        <w:t>T</w:t>
      </w:r>
      <w:r w:rsidRPr="009B6A29">
        <w:rPr>
          <w:rFonts w:eastAsia="Arial"/>
          <w:spacing w:val="-7"/>
          <w:lang w:val="en-US" w:eastAsia="en-US"/>
        </w:rPr>
        <w:t xml:space="preserve"> </w:t>
      </w:r>
      <w:r w:rsidRPr="009B6A29">
        <w:rPr>
          <w:rFonts w:eastAsia="Arial"/>
          <w:spacing w:val="2"/>
          <w:lang w:val="en-US" w:eastAsia="en-US"/>
        </w:rPr>
        <w:t>f</w:t>
      </w:r>
      <w:r w:rsidRPr="009B6A29">
        <w:rPr>
          <w:rFonts w:eastAsia="Arial"/>
          <w:spacing w:val="1"/>
          <w:lang w:val="en-US" w:eastAsia="en-US"/>
        </w:rPr>
        <w:t>o</w:t>
      </w:r>
      <w:r w:rsidRPr="009B6A29">
        <w:rPr>
          <w:rFonts w:eastAsia="Arial"/>
          <w:lang w:val="en-US" w:eastAsia="en-US"/>
        </w:rPr>
        <w:t>r</w:t>
      </w:r>
      <w:r w:rsidRPr="009B6A29">
        <w:rPr>
          <w:rFonts w:eastAsia="Arial"/>
          <w:spacing w:val="-10"/>
          <w:lang w:val="en-US" w:eastAsia="en-US"/>
        </w:rPr>
        <w:t xml:space="preserve"> </w:t>
      </w:r>
      <w:r w:rsidRPr="009B6A29">
        <w:rPr>
          <w:rFonts w:eastAsia="Arial"/>
          <w:lang w:val="en-US" w:eastAsia="en-US"/>
        </w:rPr>
        <w:t>t</w:t>
      </w:r>
      <w:r w:rsidRPr="009B6A29">
        <w:rPr>
          <w:rFonts w:eastAsia="Arial"/>
          <w:spacing w:val="-2"/>
          <w:lang w:val="en-US" w:eastAsia="en-US"/>
        </w:rPr>
        <w:t>h</w:t>
      </w:r>
      <w:r w:rsidRPr="009B6A29">
        <w:rPr>
          <w:rFonts w:eastAsia="Arial"/>
          <w:lang w:val="en-US" w:eastAsia="en-US"/>
        </w:rPr>
        <w:t>e</w:t>
      </w:r>
      <w:r w:rsidRPr="009B6A29">
        <w:rPr>
          <w:rFonts w:eastAsia="Arial"/>
          <w:spacing w:val="-7"/>
          <w:lang w:val="en-US" w:eastAsia="en-US"/>
        </w:rPr>
        <w:t xml:space="preserve"> </w:t>
      </w:r>
      <w:r w:rsidRPr="009B6A29">
        <w:rPr>
          <w:rFonts w:eastAsia="Arial"/>
          <w:lang w:val="en-US" w:eastAsia="en-US"/>
        </w:rPr>
        <w:t>c</w:t>
      </w:r>
      <w:r w:rsidRPr="009B6A29">
        <w:rPr>
          <w:rFonts w:eastAsia="Arial"/>
          <w:spacing w:val="-1"/>
          <w:lang w:val="en-US" w:eastAsia="en-US"/>
        </w:rPr>
        <w:t>li</w:t>
      </w:r>
      <w:r w:rsidRPr="009B6A29">
        <w:rPr>
          <w:rFonts w:eastAsia="Arial"/>
          <w:spacing w:val="1"/>
          <w:lang w:val="en-US" w:eastAsia="en-US"/>
        </w:rPr>
        <w:t>en</w:t>
      </w:r>
      <w:r w:rsidRPr="009B6A29">
        <w:rPr>
          <w:rFonts w:eastAsia="Arial"/>
          <w:lang w:val="en-US" w:eastAsia="en-US"/>
        </w:rPr>
        <w:t>t</w:t>
      </w:r>
      <w:r>
        <w:rPr>
          <w:lang w:val="en-US"/>
        </w:rPr>
        <w:t xml:space="preserve"> only if the MHC or MHRT has approved or ordered the LCT.</w:t>
      </w:r>
    </w:p>
    <w:p w14:paraId="59BC399E" w14:textId="77777777" w:rsidR="00BE754D" w:rsidRDefault="00BE754D" w:rsidP="00F64F38">
      <w:pPr>
        <w:widowControl w:val="0"/>
        <w:ind w:right="122"/>
        <w:jc w:val="both"/>
        <w:rPr>
          <w:lang w:val="en-US"/>
        </w:rPr>
      </w:pPr>
      <w:r>
        <w:rPr>
          <w:lang w:val="en-US"/>
        </w:rPr>
        <w:t>The duration of any LCT authorised by the Senior Practitioner must not exceed the maximum level of LCT approved by the MHC or MHRT.</w:t>
      </w:r>
    </w:p>
    <w:p w14:paraId="24FB5531" w14:textId="43E5DFCD" w:rsidR="00BE754D" w:rsidRPr="009B6A29" w:rsidRDefault="00BE754D" w:rsidP="00F64F38">
      <w:pPr>
        <w:suppressAutoHyphens/>
        <w:spacing w:line="240" w:lineRule="atLeast"/>
        <w:jc w:val="both"/>
      </w:pPr>
      <w:r w:rsidRPr="009B6A29">
        <w:t xml:space="preserve">While the Act empowers a </w:t>
      </w:r>
      <w:r>
        <w:t>Senior Practitioner</w:t>
      </w:r>
      <w:r w:rsidRPr="009B6A29">
        <w:t xml:space="preserve"> to authorise</w:t>
      </w:r>
      <w:r w:rsidR="00652492">
        <w:t xml:space="preserve"> the clinical use of</w:t>
      </w:r>
      <w:r w:rsidRPr="009B6A29">
        <w:t xml:space="preserve"> LCT for a forensic disability client</w:t>
      </w:r>
      <w:r>
        <w:t xml:space="preserve"> where it</w:t>
      </w:r>
      <w:r w:rsidRPr="009B6A29">
        <w:t xml:space="preserve"> has been approved by the MHRT</w:t>
      </w:r>
      <w:r>
        <w:t>,</w:t>
      </w:r>
      <w:r w:rsidRPr="009B6A29">
        <w:t xml:space="preserve"> it is important to recognise the significance of the client’s </w:t>
      </w:r>
      <w:r>
        <w:t xml:space="preserve">risk and </w:t>
      </w:r>
      <w:r w:rsidRPr="009B6A29">
        <w:t xml:space="preserve">detention status under the Act. This </w:t>
      </w:r>
      <w:r w:rsidR="00652492">
        <w:t xml:space="preserve">not only </w:t>
      </w:r>
      <w:r w:rsidRPr="009B6A29">
        <w:t xml:space="preserve">applies to all forensic </w:t>
      </w:r>
      <w:r>
        <w:t xml:space="preserve">disability </w:t>
      </w:r>
      <w:r w:rsidRPr="009B6A29">
        <w:t xml:space="preserve">clients </w:t>
      </w:r>
      <w:r w:rsidR="00652492">
        <w:t>but</w:t>
      </w:r>
      <w:r w:rsidR="00652492" w:rsidRPr="009B6A29">
        <w:t xml:space="preserve"> </w:t>
      </w:r>
      <w:r w:rsidRPr="009B6A29">
        <w:t>is a</w:t>
      </w:r>
      <w:r w:rsidR="006619E6">
        <w:t xml:space="preserve"> particularly important</w:t>
      </w:r>
      <w:r>
        <w:t xml:space="preserve"> </w:t>
      </w:r>
      <w:r w:rsidRPr="009B6A29">
        <w:t xml:space="preserve">consideration in relation to LCT </w:t>
      </w:r>
      <w:r>
        <w:t xml:space="preserve">for </w:t>
      </w:r>
      <w:r w:rsidRPr="009B6A29">
        <w:t xml:space="preserve">clients </w:t>
      </w:r>
      <w:r>
        <w:t xml:space="preserve">who have committed prescribed offences </w:t>
      </w:r>
      <w:r w:rsidR="00A24230">
        <w:t>(refer</w:t>
      </w:r>
      <w:r w:rsidRPr="009B6A29">
        <w:t xml:space="preserve"> </w:t>
      </w:r>
      <w:r w:rsidRPr="009B6A29">
        <w:rPr>
          <w:i/>
        </w:rPr>
        <w:t xml:space="preserve">Director of Forensic Disability Policy - </w:t>
      </w:r>
      <w:r>
        <w:rPr>
          <w:i/>
        </w:rPr>
        <w:t>Clients for whom the offence leading to the Forensic Order is a prescribed offence</w:t>
      </w:r>
      <w:r w:rsidR="00A24230">
        <w:rPr>
          <w:iCs/>
        </w:rPr>
        <w:t>)</w:t>
      </w:r>
      <w:r>
        <w:rPr>
          <w:i/>
        </w:rPr>
        <w:t>.</w:t>
      </w:r>
    </w:p>
    <w:p w14:paraId="58FFF6C4" w14:textId="77777777" w:rsidR="00BE754D" w:rsidRDefault="00BE754D" w:rsidP="00F64F38">
      <w:pPr>
        <w:suppressAutoHyphens/>
        <w:spacing w:line="240" w:lineRule="atLeast"/>
        <w:jc w:val="both"/>
      </w:pPr>
      <w:r w:rsidRPr="009B6A29">
        <w:t xml:space="preserve">A </w:t>
      </w:r>
      <w:r>
        <w:t>Senior Practitioner:</w:t>
      </w:r>
    </w:p>
    <w:p w14:paraId="6EAA9F5B" w14:textId="77777777" w:rsidR="00BE754D" w:rsidRPr="001F0590" w:rsidRDefault="00BE754D" w:rsidP="00F64F38">
      <w:pPr>
        <w:pStyle w:val="ListParagraph"/>
        <w:numPr>
          <w:ilvl w:val="0"/>
          <w:numId w:val="32"/>
        </w:numPr>
        <w:jc w:val="both"/>
        <w:rPr>
          <w:rFonts w:ascii="Arial" w:hAnsi="Arial" w:cs="Arial"/>
          <w:sz w:val="22"/>
          <w:szCs w:val="22"/>
        </w:rPr>
      </w:pPr>
      <w:r w:rsidRPr="001F0590">
        <w:rPr>
          <w:rFonts w:ascii="Arial" w:hAnsi="Arial" w:cs="Arial"/>
          <w:sz w:val="22"/>
          <w:szCs w:val="22"/>
        </w:rPr>
        <w:t>may authorise LCT only if they are satisfied, having regard to the matters stated in subsection 20(3) of the Act, there is not an unacceptable risk to the safety of the community, including the risk of serious harm to other persons or property; and</w:t>
      </w:r>
    </w:p>
    <w:p w14:paraId="22B06451" w14:textId="77777777" w:rsidR="00BE754D" w:rsidRPr="001F0590" w:rsidRDefault="00BE754D" w:rsidP="00F64F38">
      <w:pPr>
        <w:pStyle w:val="ListParagraph"/>
        <w:numPr>
          <w:ilvl w:val="0"/>
          <w:numId w:val="32"/>
        </w:numPr>
        <w:jc w:val="both"/>
        <w:rPr>
          <w:rFonts w:ascii="Arial" w:hAnsi="Arial" w:cs="Arial"/>
          <w:sz w:val="22"/>
          <w:szCs w:val="22"/>
        </w:rPr>
      </w:pPr>
      <w:r w:rsidRPr="001F0590">
        <w:rPr>
          <w:rFonts w:ascii="Arial" w:hAnsi="Arial" w:cs="Arial"/>
          <w:sz w:val="22"/>
          <w:szCs w:val="22"/>
        </w:rPr>
        <w:t xml:space="preserve">must have regard to the matters stated in section 20(3) of the Act </w:t>
      </w:r>
      <w:r w:rsidR="001F6B42" w:rsidRPr="001F0590">
        <w:rPr>
          <w:rFonts w:ascii="Arial" w:hAnsi="Arial" w:cs="Arial"/>
          <w:sz w:val="22"/>
          <w:szCs w:val="22"/>
        </w:rPr>
        <w:t xml:space="preserve">in deciding </w:t>
      </w:r>
      <w:r w:rsidRPr="001F0590">
        <w:rPr>
          <w:rFonts w:ascii="Arial" w:hAnsi="Arial" w:cs="Arial"/>
          <w:sz w:val="22"/>
          <w:szCs w:val="22"/>
        </w:rPr>
        <w:t>the nature and conditions of the LCT.</w:t>
      </w:r>
    </w:p>
    <w:p w14:paraId="140BB645" w14:textId="77777777" w:rsidR="00915961" w:rsidRDefault="00915961" w:rsidP="0096478E">
      <w:pPr>
        <w:suppressAutoHyphens/>
        <w:spacing w:line="240" w:lineRule="atLeast"/>
        <w:jc w:val="both"/>
      </w:pPr>
    </w:p>
    <w:p w14:paraId="35AD6D32" w14:textId="1998C008" w:rsidR="00BE754D" w:rsidRDefault="00BE754D" w:rsidP="0096478E">
      <w:pPr>
        <w:suppressAutoHyphens/>
        <w:spacing w:line="240" w:lineRule="atLeast"/>
        <w:jc w:val="both"/>
      </w:pPr>
      <w:r w:rsidRPr="00F2145F">
        <w:lastRenderedPageBreak/>
        <w:t xml:space="preserve">Matters to which the </w:t>
      </w:r>
      <w:r w:rsidRPr="008411F0">
        <w:t>Senior Practitioner</w:t>
      </w:r>
      <w:r w:rsidRPr="00F2145F">
        <w:t xml:space="preserve"> must have regard</w:t>
      </w:r>
      <w:r>
        <w:t xml:space="preserve"> (section 20(3) of the Act) when authorising LCT include:</w:t>
      </w:r>
    </w:p>
    <w:p w14:paraId="5942D787" w14:textId="77777777" w:rsidR="00BE754D" w:rsidRPr="001F0590" w:rsidRDefault="00BE754D" w:rsidP="00F64F38">
      <w:pPr>
        <w:pStyle w:val="ListParagraph"/>
        <w:numPr>
          <w:ilvl w:val="0"/>
          <w:numId w:val="32"/>
        </w:numPr>
        <w:suppressAutoHyphens/>
        <w:spacing w:after="60"/>
        <w:jc w:val="both"/>
        <w:rPr>
          <w:rFonts w:ascii="Arial" w:hAnsi="Arial" w:cs="Arial"/>
          <w:bCs/>
          <w:sz w:val="22"/>
          <w:szCs w:val="22"/>
        </w:rPr>
      </w:pPr>
      <w:r w:rsidRPr="001F0590">
        <w:rPr>
          <w:rFonts w:ascii="Arial" w:hAnsi="Arial" w:cs="Arial"/>
          <w:sz w:val="22"/>
          <w:szCs w:val="22"/>
        </w:rPr>
        <w:t xml:space="preserve">the purpose of the </w:t>
      </w:r>
      <w:r w:rsidRPr="001F0590">
        <w:rPr>
          <w:rFonts w:ascii="Arial" w:hAnsi="Arial" w:cs="Arial"/>
          <w:bCs/>
          <w:sz w:val="22"/>
          <w:szCs w:val="22"/>
        </w:rPr>
        <w:t>LCT is to support the client’s rehabilitation by transitioning the client to living in the community with appropriate care and support;</w:t>
      </w:r>
    </w:p>
    <w:p w14:paraId="74533101" w14:textId="77777777" w:rsidR="00BE754D" w:rsidRPr="001F0590" w:rsidRDefault="00BE754D" w:rsidP="00F64F38">
      <w:pPr>
        <w:pStyle w:val="ListParagraph"/>
        <w:numPr>
          <w:ilvl w:val="0"/>
          <w:numId w:val="32"/>
        </w:numPr>
        <w:suppressAutoHyphens/>
        <w:spacing w:after="60"/>
        <w:jc w:val="both"/>
        <w:rPr>
          <w:rFonts w:ascii="Arial" w:hAnsi="Arial" w:cs="Arial"/>
          <w:bCs/>
          <w:sz w:val="22"/>
          <w:szCs w:val="22"/>
        </w:rPr>
      </w:pPr>
      <w:r w:rsidRPr="001F0590">
        <w:rPr>
          <w:rFonts w:ascii="Arial" w:hAnsi="Arial" w:cs="Arial"/>
          <w:bCs/>
          <w:sz w:val="22"/>
          <w:szCs w:val="22"/>
        </w:rPr>
        <w:t>the client’s current mental state and intellectual disability;</w:t>
      </w:r>
    </w:p>
    <w:p w14:paraId="368BE0D6" w14:textId="77777777" w:rsidR="00BE754D" w:rsidRPr="001F0590" w:rsidRDefault="00BE754D" w:rsidP="00F64F38">
      <w:pPr>
        <w:pStyle w:val="ListParagraph"/>
        <w:numPr>
          <w:ilvl w:val="0"/>
          <w:numId w:val="32"/>
        </w:numPr>
        <w:suppressAutoHyphens/>
        <w:spacing w:after="60"/>
        <w:jc w:val="both"/>
        <w:rPr>
          <w:rFonts w:ascii="Arial" w:hAnsi="Arial" w:cs="Arial"/>
          <w:bCs/>
          <w:sz w:val="22"/>
          <w:szCs w:val="22"/>
        </w:rPr>
      </w:pPr>
      <w:r w:rsidRPr="001F0590">
        <w:rPr>
          <w:rFonts w:ascii="Arial" w:hAnsi="Arial" w:cs="Arial"/>
          <w:bCs/>
          <w:sz w:val="22"/>
          <w:szCs w:val="22"/>
        </w:rPr>
        <w:t>the offences and offending behavio</w:t>
      </w:r>
      <w:r w:rsidR="009631C0">
        <w:rPr>
          <w:rFonts w:ascii="Arial" w:hAnsi="Arial" w:cs="Arial"/>
          <w:bCs/>
          <w:sz w:val="22"/>
          <w:szCs w:val="22"/>
        </w:rPr>
        <w:t>u</w:t>
      </w:r>
      <w:r w:rsidRPr="001F0590">
        <w:rPr>
          <w:rFonts w:ascii="Arial" w:hAnsi="Arial" w:cs="Arial"/>
          <w:bCs/>
          <w:sz w:val="22"/>
          <w:szCs w:val="22"/>
        </w:rPr>
        <w:t>r leading to the making of the forensic order taking into account the rehabilitative treatment that has been received, and the time since the offences occurred;</w:t>
      </w:r>
    </w:p>
    <w:p w14:paraId="2F3D33C1" w14:textId="77777777" w:rsidR="00BE754D" w:rsidRPr="001F0590" w:rsidRDefault="00BE754D" w:rsidP="00F64F38">
      <w:pPr>
        <w:pStyle w:val="ListParagraph"/>
        <w:numPr>
          <w:ilvl w:val="0"/>
          <w:numId w:val="32"/>
        </w:numPr>
        <w:suppressAutoHyphens/>
        <w:spacing w:after="60"/>
        <w:jc w:val="both"/>
        <w:rPr>
          <w:rFonts w:ascii="Arial" w:hAnsi="Arial" w:cs="Arial"/>
          <w:bCs/>
          <w:sz w:val="22"/>
          <w:szCs w:val="22"/>
        </w:rPr>
      </w:pPr>
      <w:r w:rsidRPr="001F0590">
        <w:rPr>
          <w:rFonts w:ascii="Arial" w:hAnsi="Arial" w:cs="Arial"/>
          <w:bCs/>
          <w:sz w:val="22"/>
          <w:szCs w:val="22"/>
        </w:rPr>
        <w:t>the client’s social circumstances, including, for example, family and social support;</w:t>
      </w:r>
    </w:p>
    <w:p w14:paraId="59F74DED" w14:textId="77777777" w:rsidR="00BE754D" w:rsidRPr="001F0590" w:rsidRDefault="00BE754D" w:rsidP="00F64F38">
      <w:pPr>
        <w:pStyle w:val="ListParagraph"/>
        <w:numPr>
          <w:ilvl w:val="0"/>
          <w:numId w:val="32"/>
        </w:numPr>
        <w:suppressAutoHyphens/>
        <w:spacing w:after="60"/>
        <w:jc w:val="both"/>
        <w:rPr>
          <w:rFonts w:ascii="Arial" w:hAnsi="Arial" w:cs="Arial"/>
          <w:bCs/>
          <w:sz w:val="22"/>
          <w:szCs w:val="22"/>
        </w:rPr>
      </w:pPr>
      <w:r w:rsidRPr="001F0590">
        <w:rPr>
          <w:rFonts w:ascii="Arial" w:hAnsi="Arial" w:cs="Arial"/>
          <w:bCs/>
          <w:sz w:val="22"/>
          <w:szCs w:val="22"/>
        </w:rPr>
        <w:t>the client’s response to care and support including, if relevant, the client’s response to care and support in the community; and</w:t>
      </w:r>
    </w:p>
    <w:p w14:paraId="7F755CA1" w14:textId="7ED74849" w:rsidR="00BE754D" w:rsidRDefault="00BE754D" w:rsidP="00F64F38">
      <w:pPr>
        <w:pStyle w:val="ListParagraph"/>
        <w:numPr>
          <w:ilvl w:val="0"/>
          <w:numId w:val="32"/>
        </w:numPr>
        <w:suppressAutoHyphens/>
        <w:spacing w:after="60"/>
        <w:jc w:val="both"/>
        <w:rPr>
          <w:rFonts w:ascii="Arial" w:hAnsi="Arial" w:cs="Arial"/>
          <w:bCs/>
          <w:sz w:val="22"/>
          <w:szCs w:val="22"/>
        </w:rPr>
      </w:pPr>
      <w:r w:rsidRPr="001F0590">
        <w:rPr>
          <w:rFonts w:ascii="Arial" w:hAnsi="Arial" w:cs="Arial"/>
          <w:bCs/>
          <w:sz w:val="22"/>
          <w:szCs w:val="22"/>
        </w:rPr>
        <w:t xml:space="preserve">the client’s willingness to continue to receive appropriate care and support. </w:t>
      </w:r>
    </w:p>
    <w:p w14:paraId="23FD2370" w14:textId="77777777" w:rsidR="0015248B" w:rsidRPr="001F0590" w:rsidRDefault="0015248B" w:rsidP="0015248B">
      <w:pPr>
        <w:pStyle w:val="ListParagraph"/>
        <w:suppressAutoHyphens/>
        <w:spacing w:after="60"/>
        <w:ind w:left="646"/>
        <w:jc w:val="both"/>
        <w:rPr>
          <w:rFonts w:ascii="Arial" w:hAnsi="Arial" w:cs="Arial"/>
          <w:bCs/>
          <w:sz w:val="22"/>
          <w:szCs w:val="22"/>
        </w:rPr>
      </w:pPr>
    </w:p>
    <w:p w14:paraId="546F7D08" w14:textId="796FC289" w:rsidR="00BE754D" w:rsidRDefault="00BE754D" w:rsidP="00F64F38">
      <w:pPr>
        <w:suppressAutoHyphens/>
        <w:jc w:val="both"/>
      </w:pPr>
      <w:r>
        <w:t>Additional matters the Senior Practitioner must have regard to:</w:t>
      </w:r>
    </w:p>
    <w:p w14:paraId="541C6F27" w14:textId="77777777" w:rsidR="00BE754D" w:rsidRPr="001F0590" w:rsidRDefault="00BE754D" w:rsidP="00F64F38">
      <w:pPr>
        <w:pStyle w:val="ListParagraph"/>
        <w:numPr>
          <w:ilvl w:val="0"/>
          <w:numId w:val="32"/>
        </w:numPr>
        <w:suppressAutoHyphens/>
        <w:spacing w:after="60"/>
        <w:jc w:val="both"/>
        <w:rPr>
          <w:rFonts w:ascii="Arial" w:hAnsi="Arial" w:cs="Arial"/>
          <w:sz w:val="22"/>
          <w:szCs w:val="22"/>
        </w:rPr>
      </w:pPr>
      <w:r w:rsidRPr="001F0590">
        <w:rPr>
          <w:rFonts w:ascii="Arial" w:hAnsi="Arial" w:cs="Arial"/>
          <w:sz w:val="22"/>
          <w:szCs w:val="22"/>
        </w:rPr>
        <w:t>previous episodes of LCT;</w:t>
      </w:r>
    </w:p>
    <w:p w14:paraId="61E0FD70" w14:textId="77777777" w:rsidR="00BE754D" w:rsidRPr="001F0590" w:rsidRDefault="00BE754D" w:rsidP="00F64F38">
      <w:pPr>
        <w:pStyle w:val="ListParagraph"/>
        <w:numPr>
          <w:ilvl w:val="0"/>
          <w:numId w:val="32"/>
        </w:numPr>
        <w:suppressAutoHyphens/>
        <w:spacing w:after="60"/>
        <w:jc w:val="both"/>
        <w:rPr>
          <w:rFonts w:ascii="Arial" w:hAnsi="Arial" w:cs="Arial"/>
          <w:sz w:val="22"/>
          <w:szCs w:val="22"/>
        </w:rPr>
      </w:pPr>
      <w:r w:rsidRPr="001F0590">
        <w:rPr>
          <w:rFonts w:ascii="Arial" w:hAnsi="Arial" w:cs="Arial"/>
          <w:sz w:val="22"/>
          <w:szCs w:val="22"/>
        </w:rPr>
        <w:t>any previous episodes of absence without permission;</w:t>
      </w:r>
    </w:p>
    <w:p w14:paraId="0F679C77" w14:textId="38D2EBEF" w:rsidR="00BE754D" w:rsidRDefault="00BE754D" w:rsidP="00F64F38">
      <w:pPr>
        <w:pStyle w:val="ListParagraph"/>
        <w:numPr>
          <w:ilvl w:val="0"/>
          <w:numId w:val="32"/>
        </w:numPr>
        <w:suppressAutoHyphens/>
        <w:spacing w:after="60"/>
        <w:jc w:val="both"/>
        <w:rPr>
          <w:rFonts w:ascii="Arial" w:hAnsi="Arial" w:cs="Arial"/>
          <w:sz w:val="22"/>
          <w:szCs w:val="22"/>
        </w:rPr>
      </w:pPr>
      <w:r w:rsidRPr="001F0590">
        <w:rPr>
          <w:rFonts w:ascii="Arial" w:hAnsi="Arial" w:cs="Arial"/>
          <w:sz w:val="22"/>
          <w:szCs w:val="22"/>
        </w:rPr>
        <w:t>current risk assessments and management plans;</w:t>
      </w:r>
    </w:p>
    <w:p w14:paraId="0EB20519" w14:textId="536CB741" w:rsidR="003F6C5C" w:rsidRPr="001F0590" w:rsidRDefault="003F6C5C" w:rsidP="00F64F38">
      <w:pPr>
        <w:pStyle w:val="ListParagraph"/>
        <w:numPr>
          <w:ilvl w:val="0"/>
          <w:numId w:val="32"/>
        </w:numPr>
        <w:suppressAutoHyphens/>
        <w:spacing w:after="60"/>
        <w:jc w:val="both"/>
        <w:rPr>
          <w:rFonts w:ascii="Arial" w:hAnsi="Arial" w:cs="Arial"/>
          <w:sz w:val="22"/>
          <w:szCs w:val="22"/>
        </w:rPr>
      </w:pPr>
      <w:r>
        <w:rPr>
          <w:rFonts w:ascii="Arial" w:hAnsi="Arial" w:cs="Arial"/>
          <w:sz w:val="22"/>
          <w:szCs w:val="22"/>
        </w:rPr>
        <w:t>the support and supervision that is appropriate and available;</w:t>
      </w:r>
    </w:p>
    <w:p w14:paraId="14EA2E7D" w14:textId="77777777" w:rsidR="00151394" w:rsidRPr="001F0590" w:rsidRDefault="00BE754D" w:rsidP="00F64F38">
      <w:pPr>
        <w:pStyle w:val="ListParagraph"/>
        <w:numPr>
          <w:ilvl w:val="0"/>
          <w:numId w:val="32"/>
        </w:numPr>
        <w:suppressAutoHyphens/>
        <w:spacing w:after="60"/>
        <w:jc w:val="both"/>
        <w:rPr>
          <w:rFonts w:ascii="Arial" w:hAnsi="Arial" w:cs="Arial"/>
          <w:sz w:val="22"/>
          <w:szCs w:val="22"/>
        </w:rPr>
      </w:pPr>
      <w:r w:rsidRPr="001F0590">
        <w:rPr>
          <w:rFonts w:ascii="Arial" w:hAnsi="Arial" w:cs="Arial"/>
          <w:sz w:val="22"/>
          <w:szCs w:val="22"/>
        </w:rPr>
        <w:t>client, staff and community safety; and</w:t>
      </w:r>
    </w:p>
    <w:p w14:paraId="77064028" w14:textId="41455089" w:rsidR="00BE754D" w:rsidRDefault="00BE754D" w:rsidP="00F64F38">
      <w:pPr>
        <w:pStyle w:val="ListParagraph"/>
        <w:numPr>
          <w:ilvl w:val="0"/>
          <w:numId w:val="32"/>
        </w:numPr>
        <w:suppressAutoHyphens/>
        <w:spacing w:after="60"/>
        <w:jc w:val="both"/>
        <w:rPr>
          <w:rFonts w:ascii="Arial" w:hAnsi="Arial" w:cs="Arial"/>
          <w:sz w:val="22"/>
          <w:szCs w:val="22"/>
        </w:rPr>
      </w:pPr>
      <w:r w:rsidRPr="001F0590">
        <w:rPr>
          <w:rFonts w:ascii="Arial" w:hAnsi="Arial" w:cs="Arial"/>
          <w:sz w:val="22"/>
          <w:szCs w:val="22"/>
        </w:rPr>
        <w:t>any victim and community concerns</w:t>
      </w:r>
    </w:p>
    <w:p w14:paraId="1B2F713D" w14:textId="77777777" w:rsidR="0015248B" w:rsidRPr="001F0590" w:rsidRDefault="0015248B" w:rsidP="0015248B">
      <w:pPr>
        <w:pStyle w:val="ListParagraph"/>
        <w:suppressAutoHyphens/>
        <w:spacing w:after="60"/>
        <w:ind w:left="646"/>
        <w:jc w:val="both"/>
        <w:rPr>
          <w:rFonts w:ascii="Arial" w:hAnsi="Arial" w:cs="Arial"/>
          <w:sz w:val="22"/>
          <w:szCs w:val="22"/>
        </w:rPr>
      </w:pPr>
    </w:p>
    <w:p w14:paraId="135EAA75" w14:textId="77777777" w:rsidR="00BE754D" w:rsidRDefault="00BE754D" w:rsidP="00F64F38">
      <w:pPr>
        <w:keepNext/>
        <w:keepLines/>
        <w:suppressAutoHyphens/>
        <w:spacing w:line="240" w:lineRule="atLeast"/>
        <w:jc w:val="both"/>
        <w:rPr>
          <w:lang w:val="en-US"/>
        </w:rPr>
      </w:pPr>
      <w:r>
        <w:t xml:space="preserve">A Senior Practitioner must also ensure: </w:t>
      </w:r>
    </w:p>
    <w:p w14:paraId="31BE1595" w14:textId="77777777" w:rsidR="00BE754D" w:rsidRPr="001F0590" w:rsidRDefault="00BE754D" w:rsidP="00F64F38">
      <w:pPr>
        <w:pStyle w:val="ListParagraph"/>
        <w:keepNext/>
        <w:keepLines/>
        <w:numPr>
          <w:ilvl w:val="0"/>
          <w:numId w:val="32"/>
        </w:numPr>
        <w:suppressAutoHyphens/>
        <w:spacing w:after="60"/>
        <w:jc w:val="both"/>
        <w:rPr>
          <w:rFonts w:ascii="Arial" w:hAnsi="Arial" w:cs="Arial"/>
          <w:sz w:val="22"/>
          <w:szCs w:val="22"/>
        </w:rPr>
      </w:pPr>
      <w:r w:rsidRPr="001F0590">
        <w:rPr>
          <w:rFonts w:ascii="Arial" w:hAnsi="Arial" w:cs="Arial"/>
          <w:sz w:val="22"/>
          <w:szCs w:val="22"/>
        </w:rPr>
        <w:t>the decisions made regarding a client’s LCT are communicated to all relevant community services (government and non-government) involved in the care of the client; and</w:t>
      </w:r>
    </w:p>
    <w:p w14:paraId="644ECF1E" w14:textId="6DCE44D9" w:rsidR="00BE754D" w:rsidRDefault="00BE754D" w:rsidP="00F64F38">
      <w:pPr>
        <w:pStyle w:val="ListParagraph"/>
        <w:numPr>
          <w:ilvl w:val="0"/>
          <w:numId w:val="32"/>
        </w:numPr>
        <w:suppressAutoHyphens/>
        <w:spacing w:after="60"/>
        <w:jc w:val="both"/>
        <w:rPr>
          <w:rFonts w:ascii="Arial" w:hAnsi="Arial" w:cs="Arial"/>
          <w:sz w:val="22"/>
          <w:szCs w:val="22"/>
        </w:rPr>
      </w:pPr>
      <w:r w:rsidRPr="001F0590">
        <w:rPr>
          <w:rFonts w:ascii="Arial" w:hAnsi="Arial" w:cs="Arial"/>
          <w:sz w:val="22"/>
          <w:szCs w:val="22"/>
        </w:rPr>
        <w:t>the client understands what is to happen when they are on LCT.</w:t>
      </w:r>
    </w:p>
    <w:p w14:paraId="3E6C9182" w14:textId="77777777" w:rsidR="009135D9" w:rsidRDefault="009135D9" w:rsidP="00F64F38">
      <w:pPr>
        <w:suppressAutoHyphens/>
        <w:spacing w:after="160"/>
        <w:jc w:val="both"/>
        <w:rPr>
          <w:lang w:val="en-US"/>
        </w:rPr>
      </w:pPr>
    </w:p>
    <w:p w14:paraId="6616F95F" w14:textId="77777777" w:rsidR="00BE754D" w:rsidRPr="0021215B" w:rsidRDefault="00BE754D" w:rsidP="00F64F38">
      <w:pPr>
        <w:pStyle w:val="Heading4"/>
        <w:numPr>
          <w:ilvl w:val="2"/>
          <w:numId w:val="16"/>
        </w:numPr>
        <w:jc w:val="both"/>
        <w:rPr>
          <w:rFonts w:ascii="Arial" w:hAnsi="Arial" w:cs="Arial"/>
          <w:sz w:val="22"/>
          <w:szCs w:val="22"/>
        </w:rPr>
      </w:pPr>
      <w:r w:rsidRPr="0021215B">
        <w:rPr>
          <w:rFonts w:ascii="Arial" w:hAnsi="Arial" w:cs="Arial"/>
          <w:sz w:val="22"/>
          <w:szCs w:val="22"/>
        </w:rPr>
        <w:t xml:space="preserve">Who </w:t>
      </w:r>
      <w:r w:rsidRPr="0021215B">
        <w:rPr>
          <w:rFonts w:ascii="Arial" w:hAnsi="Arial" w:cs="Arial"/>
          <w:sz w:val="22"/>
          <w:szCs w:val="22"/>
          <w:u w:val="single"/>
        </w:rPr>
        <w:t>cannot</w:t>
      </w:r>
      <w:r w:rsidRPr="0021215B">
        <w:rPr>
          <w:rFonts w:ascii="Arial" w:hAnsi="Arial" w:cs="Arial"/>
          <w:sz w:val="22"/>
          <w:szCs w:val="22"/>
        </w:rPr>
        <w:t xml:space="preserve"> authorise LCT</w:t>
      </w:r>
    </w:p>
    <w:p w14:paraId="1A69A6DA" w14:textId="3844E809" w:rsidR="00BE754D" w:rsidRDefault="00BE754D" w:rsidP="00F64F38">
      <w:pPr>
        <w:suppressAutoHyphens/>
        <w:spacing w:line="240" w:lineRule="atLeast"/>
        <w:jc w:val="both"/>
        <w:rPr>
          <w:lang w:val="en-US"/>
        </w:rPr>
      </w:pPr>
      <w:r>
        <w:rPr>
          <w:lang w:val="en-US"/>
        </w:rPr>
        <w:t xml:space="preserve">Only </w:t>
      </w:r>
      <w:r w:rsidR="006619E6">
        <w:rPr>
          <w:lang w:val="en-US"/>
        </w:rPr>
        <w:t xml:space="preserve">a </w:t>
      </w:r>
      <w:r>
        <w:rPr>
          <w:lang w:val="en-US"/>
        </w:rPr>
        <w:t xml:space="preserve">Senior Practitioner can authorise LCT. Other staff members cannot </w:t>
      </w:r>
      <w:r w:rsidRPr="009B6A29">
        <w:rPr>
          <w:lang w:val="en-US"/>
        </w:rPr>
        <w:t xml:space="preserve">authorise </w:t>
      </w:r>
      <w:r>
        <w:rPr>
          <w:lang w:val="en-US"/>
        </w:rPr>
        <w:t xml:space="preserve">an </w:t>
      </w:r>
      <w:r w:rsidRPr="009B6A29">
        <w:rPr>
          <w:lang w:val="en-US"/>
        </w:rPr>
        <w:t>LCT</w:t>
      </w:r>
      <w:r>
        <w:rPr>
          <w:lang w:val="en-US"/>
        </w:rPr>
        <w:t xml:space="preserve"> event to occur</w:t>
      </w:r>
      <w:r w:rsidRPr="009B6A29">
        <w:rPr>
          <w:lang w:val="en-US"/>
        </w:rPr>
        <w:t>.</w:t>
      </w:r>
      <w:r>
        <w:rPr>
          <w:lang w:val="en-US"/>
        </w:rPr>
        <w:t xml:space="preserve"> Following </w:t>
      </w:r>
      <w:r w:rsidR="006619E6">
        <w:rPr>
          <w:lang w:val="en-US"/>
        </w:rPr>
        <w:t>a</w:t>
      </w:r>
      <w:r w:rsidR="003F6C5C">
        <w:rPr>
          <w:lang w:val="en-US"/>
        </w:rPr>
        <w:t xml:space="preserve"> </w:t>
      </w:r>
      <w:r>
        <w:rPr>
          <w:lang w:val="en-US"/>
        </w:rPr>
        <w:t>Senior Practitioner’s authorisation of LCT, the role of the Authorised Practitioner or the operational staff member is to complete a dynamic risk assessment prior to the LCT event going ahead</w:t>
      </w:r>
      <w:r w:rsidRPr="004913FA">
        <w:rPr>
          <w:lang w:val="en-US"/>
        </w:rPr>
        <w:t xml:space="preserve"> </w:t>
      </w:r>
      <w:r>
        <w:rPr>
          <w:lang w:val="en-US"/>
        </w:rPr>
        <w:t>and assist the client to undertake LCT.</w:t>
      </w:r>
      <w:r w:rsidRPr="009B6A29">
        <w:rPr>
          <w:lang w:val="en-US"/>
        </w:rPr>
        <w:t xml:space="preserve">  </w:t>
      </w:r>
    </w:p>
    <w:p w14:paraId="6232BDE7" w14:textId="2BBD5CC7" w:rsidR="00915961" w:rsidRDefault="00BE754D" w:rsidP="00F64F38">
      <w:pPr>
        <w:suppressAutoHyphens/>
        <w:spacing w:line="240" w:lineRule="atLeast"/>
        <w:jc w:val="both"/>
        <w:rPr>
          <w:lang w:val="en-US"/>
        </w:rPr>
      </w:pPr>
      <w:r>
        <w:rPr>
          <w:lang w:val="en-US"/>
        </w:rPr>
        <w:t>The purpose of the dynamic risk assessment is to identify current risk indicators that inform whether it is safe for the LCT event to occur. Where an Authorised Practitioner identifies relevant dynamic risk factors prior to LCT that may place the client, escorting staff or the community at risk, they must notify the Senior Practitioner</w:t>
      </w:r>
      <w:r w:rsidR="002F31F9">
        <w:rPr>
          <w:lang w:val="en-US"/>
        </w:rPr>
        <w:t xml:space="preserve"> of their concerns and await the Senior Practitioner’s </w:t>
      </w:r>
      <w:r>
        <w:rPr>
          <w:lang w:val="en-US"/>
        </w:rPr>
        <w:t xml:space="preserve">decision as to whether the LCT should proceed. </w:t>
      </w:r>
    </w:p>
    <w:p w14:paraId="1A9D075A" w14:textId="77777777" w:rsidR="00915961" w:rsidRDefault="00915961">
      <w:pPr>
        <w:spacing w:after="0"/>
        <w:rPr>
          <w:lang w:val="en-US"/>
        </w:rPr>
      </w:pPr>
      <w:r>
        <w:rPr>
          <w:lang w:val="en-US"/>
        </w:rPr>
        <w:br w:type="page"/>
      </w:r>
    </w:p>
    <w:p w14:paraId="30650999" w14:textId="77777777" w:rsidR="00BE754D" w:rsidRPr="00E34BDE" w:rsidRDefault="00BE754D" w:rsidP="00F64F38">
      <w:pPr>
        <w:pStyle w:val="Heading3"/>
        <w:numPr>
          <w:ilvl w:val="1"/>
          <w:numId w:val="16"/>
        </w:numPr>
      </w:pPr>
      <w:r w:rsidRPr="00E34BDE">
        <w:lastRenderedPageBreak/>
        <w:t xml:space="preserve">Temporary </w:t>
      </w:r>
      <w:r>
        <w:t>Absence Approvals</w:t>
      </w:r>
    </w:p>
    <w:p w14:paraId="2F2DF9FD" w14:textId="77777777" w:rsidR="00BE754D" w:rsidRDefault="00BE754D" w:rsidP="00F64F38">
      <w:pPr>
        <w:suppressAutoHyphens/>
        <w:jc w:val="both"/>
        <w:rPr>
          <w:lang w:val="en-US"/>
        </w:rPr>
      </w:pPr>
      <w:r w:rsidRPr="00E81456">
        <w:rPr>
          <w:lang w:val="en-US"/>
        </w:rPr>
        <w:t>The Director of Forensic Disability may approve</w:t>
      </w:r>
      <w:r>
        <w:rPr>
          <w:lang w:val="en-US"/>
        </w:rPr>
        <w:t>,</w:t>
      </w:r>
      <w:r w:rsidRPr="00E81456">
        <w:rPr>
          <w:lang w:val="en-US"/>
        </w:rPr>
        <w:t xml:space="preserve"> by written notice</w:t>
      </w:r>
      <w:r>
        <w:rPr>
          <w:lang w:val="en-US"/>
        </w:rPr>
        <w:t>,</w:t>
      </w:r>
      <w:r w:rsidRPr="00E81456">
        <w:rPr>
          <w:lang w:val="en-US"/>
        </w:rPr>
        <w:t xml:space="preserve"> temporary leave </w:t>
      </w:r>
      <w:r>
        <w:rPr>
          <w:lang w:val="en-US"/>
        </w:rPr>
        <w:t xml:space="preserve">for a forensic disability client </w:t>
      </w:r>
      <w:r w:rsidRPr="00E81456">
        <w:rPr>
          <w:lang w:val="en-US"/>
        </w:rPr>
        <w:t>for</w:t>
      </w:r>
      <w:r>
        <w:rPr>
          <w:lang w:val="en-US"/>
        </w:rPr>
        <w:t xml:space="preserve"> (section 32A of the Act)</w:t>
      </w:r>
      <w:r w:rsidRPr="00E81456">
        <w:rPr>
          <w:lang w:val="en-US"/>
        </w:rPr>
        <w:t>:</w:t>
      </w:r>
    </w:p>
    <w:p w14:paraId="11DC3CB9" w14:textId="77777777" w:rsidR="00BE754D" w:rsidRPr="001F0590" w:rsidRDefault="00BE754D" w:rsidP="00F64F38">
      <w:pPr>
        <w:pStyle w:val="ListParagraph"/>
        <w:numPr>
          <w:ilvl w:val="0"/>
          <w:numId w:val="32"/>
        </w:numPr>
        <w:jc w:val="both"/>
        <w:rPr>
          <w:rFonts w:ascii="Arial" w:hAnsi="Arial" w:cs="Arial"/>
          <w:sz w:val="22"/>
          <w:szCs w:val="22"/>
        </w:rPr>
      </w:pPr>
      <w:r w:rsidRPr="001F0590">
        <w:rPr>
          <w:rFonts w:ascii="Arial" w:hAnsi="Arial" w:cs="Arial"/>
          <w:sz w:val="22"/>
          <w:szCs w:val="22"/>
        </w:rPr>
        <w:t>medical, dental or optical treatment;</w:t>
      </w:r>
    </w:p>
    <w:p w14:paraId="49124891" w14:textId="77777777" w:rsidR="00BE754D" w:rsidRPr="001F0590" w:rsidRDefault="00BE754D" w:rsidP="00F64F38">
      <w:pPr>
        <w:pStyle w:val="ListParagraph"/>
        <w:numPr>
          <w:ilvl w:val="0"/>
          <w:numId w:val="32"/>
        </w:numPr>
        <w:jc w:val="both"/>
        <w:rPr>
          <w:rFonts w:ascii="Arial" w:hAnsi="Arial" w:cs="Arial"/>
          <w:sz w:val="22"/>
          <w:szCs w:val="22"/>
        </w:rPr>
      </w:pPr>
      <w:r w:rsidRPr="001F0590">
        <w:rPr>
          <w:rFonts w:ascii="Arial" w:hAnsi="Arial" w:cs="Arial"/>
          <w:sz w:val="22"/>
          <w:szCs w:val="22"/>
        </w:rPr>
        <w:t>appearance before a court, tribunal or other body; and</w:t>
      </w:r>
    </w:p>
    <w:p w14:paraId="5D76C7D4" w14:textId="58A4AE29" w:rsidR="00BE754D" w:rsidRDefault="00BE754D" w:rsidP="00F64F38">
      <w:pPr>
        <w:pStyle w:val="ListParagraph"/>
        <w:numPr>
          <w:ilvl w:val="0"/>
          <w:numId w:val="32"/>
        </w:numPr>
        <w:jc w:val="both"/>
        <w:rPr>
          <w:rFonts w:ascii="Arial" w:hAnsi="Arial" w:cs="Arial"/>
          <w:sz w:val="22"/>
          <w:szCs w:val="22"/>
        </w:rPr>
      </w:pPr>
      <w:r w:rsidRPr="001F0590">
        <w:rPr>
          <w:rFonts w:ascii="Arial" w:hAnsi="Arial" w:cs="Arial"/>
          <w:sz w:val="22"/>
          <w:szCs w:val="22"/>
        </w:rPr>
        <w:t>another purpose the Director considers to be appropriate on compassionate grounds.</w:t>
      </w:r>
    </w:p>
    <w:p w14:paraId="40BA3542" w14:textId="77777777" w:rsidR="00C93AFF" w:rsidRPr="001F0590" w:rsidRDefault="00C93AFF" w:rsidP="00233057">
      <w:pPr>
        <w:pStyle w:val="ListParagraph"/>
        <w:ind w:left="646"/>
        <w:jc w:val="both"/>
        <w:rPr>
          <w:rFonts w:ascii="Arial" w:hAnsi="Arial" w:cs="Arial"/>
          <w:sz w:val="22"/>
          <w:szCs w:val="22"/>
        </w:rPr>
      </w:pPr>
    </w:p>
    <w:p w14:paraId="30DCF219" w14:textId="3D9BFBC7" w:rsidR="00103554" w:rsidRDefault="005960CE" w:rsidP="00F64F38">
      <w:pPr>
        <w:suppressAutoHyphens/>
        <w:jc w:val="both"/>
        <w:rPr>
          <w:lang w:val="en-US"/>
        </w:rPr>
      </w:pPr>
      <w:r>
        <w:rPr>
          <w:lang w:val="en-US"/>
        </w:rPr>
        <w:t>A request for approval for a client</w:t>
      </w:r>
      <w:r w:rsidR="00BF38BA">
        <w:rPr>
          <w:lang w:val="en-US"/>
        </w:rPr>
        <w:t>’s</w:t>
      </w:r>
      <w:r>
        <w:rPr>
          <w:lang w:val="en-US"/>
        </w:rPr>
        <w:t xml:space="preserve"> t</w:t>
      </w:r>
      <w:r w:rsidRPr="003A0C4B">
        <w:rPr>
          <w:lang w:val="en-US"/>
        </w:rPr>
        <w:t xml:space="preserve">emporary </w:t>
      </w:r>
      <w:r>
        <w:rPr>
          <w:lang w:val="en-US"/>
        </w:rPr>
        <w:t>absen</w:t>
      </w:r>
      <w:r w:rsidR="00BF38BA">
        <w:rPr>
          <w:lang w:val="en-US"/>
        </w:rPr>
        <w:t>ce</w:t>
      </w:r>
      <w:r>
        <w:rPr>
          <w:lang w:val="en-US"/>
        </w:rPr>
        <w:t xml:space="preserve"> from the FDS</w:t>
      </w:r>
      <w:r w:rsidR="00BF38BA">
        <w:rPr>
          <w:lang w:val="en-US"/>
        </w:rPr>
        <w:t xml:space="preserve"> should be </w:t>
      </w:r>
      <w:r>
        <w:rPr>
          <w:lang w:val="en-US"/>
        </w:rPr>
        <w:t>made</w:t>
      </w:r>
      <w:r w:rsidR="00BF38BA">
        <w:rPr>
          <w:lang w:val="en-US"/>
        </w:rPr>
        <w:t xml:space="preserve"> by the Administrator of the FDS</w:t>
      </w:r>
      <w:r>
        <w:rPr>
          <w:lang w:val="en-US"/>
        </w:rPr>
        <w:t xml:space="preserve"> to the Director of Forensic Disability</w:t>
      </w:r>
      <w:r w:rsidR="00BF38BA">
        <w:rPr>
          <w:lang w:val="en-US"/>
        </w:rPr>
        <w:t>.</w:t>
      </w:r>
    </w:p>
    <w:p w14:paraId="27407A02" w14:textId="4A0D3003" w:rsidR="00BE754D" w:rsidRDefault="00BF38BA" w:rsidP="00F64F38">
      <w:pPr>
        <w:suppressAutoHyphens/>
        <w:jc w:val="both"/>
        <w:rPr>
          <w:lang w:val="en-US"/>
        </w:rPr>
      </w:pPr>
      <w:r>
        <w:rPr>
          <w:lang w:val="en-US"/>
        </w:rPr>
        <w:t>Each request will be assessed on a case by case basis</w:t>
      </w:r>
      <w:r w:rsidR="00AD513B">
        <w:rPr>
          <w:lang w:val="en-US"/>
        </w:rPr>
        <w:t>. If</w:t>
      </w:r>
      <w:r>
        <w:rPr>
          <w:lang w:val="en-US"/>
        </w:rPr>
        <w:t xml:space="preserve"> granted the approval of temporary absence</w:t>
      </w:r>
      <w:r w:rsidR="005960CE">
        <w:rPr>
          <w:lang w:val="en-US"/>
        </w:rPr>
        <w:t xml:space="preserve"> may be subject to</w:t>
      </w:r>
      <w:r w:rsidR="00BE754D" w:rsidRPr="005E7B3B">
        <w:rPr>
          <w:lang w:val="en-US"/>
        </w:rPr>
        <w:t xml:space="preserve"> conditions the Director of Forensic Disability considers appropriate</w:t>
      </w:r>
      <w:r w:rsidR="00BE754D">
        <w:rPr>
          <w:lang w:val="en-US"/>
        </w:rPr>
        <w:t>.</w:t>
      </w:r>
      <w:r w:rsidR="00BE754D" w:rsidRPr="005E7B3B">
        <w:rPr>
          <w:lang w:val="en-US"/>
        </w:rPr>
        <w:t xml:space="preserve"> </w:t>
      </w:r>
    </w:p>
    <w:p w14:paraId="4F7C5B2E" w14:textId="3D76BB6B" w:rsidR="00BE754D" w:rsidRDefault="00BF38BA" w:rsidP="00F64F38">
      <w:pPr>
        <w:suppressAutoHyphens/>
        <w:jc w:val="both"/>
        <w:rPr>
          <w:lang w:val="en-US"/>
        </w:rPr>
      </w:pPr>
      <w:r>
        <w:rPr>
          <w:lang w:val="en-US"/>
        </w:rPr>
        <w:t>A client’s t</w:t>
      </w:r>
      <w:r w:rsidR="00BE754D" w:rsidRPr="00E81456">
        <w:rPr>
          <w:lang w:val="en-US"/>
        </w:rPr>
        <w:t xml:space="preserve">emporary </w:t>
      </w:r>
      <w:r>
        <w:rPr>
          <w:lang w:val="en-US"/>
        </w:rPr>
        <w:t>a</w:t>
      </w:r>
      <w:r w:rsidR="00BE754D">
        <w:rPr>
          <w:lang w:val="en-US"/>
        </w:rPr>
        <w:t>bsence</w:t>
      </w:r>
      <w:r>
        <w:rPr>
          <w:lang w:val="en-US"/>
        </w:rPr>
        <w:t xml:space="preserve"> from the FDS</w:t>
      </w:r>
      <w:r w:rsidR="00BE754D" w:rsidRPr="00E81456">
        <w:rPr>
          <w:lang w:val="en-US"/>
        </w:rPr>
        <w:t xml:space="preserve">, including conditions </w:t>
      </w:r>
      <w:r w:rsidR="008509B4">
        <w:rPr>
          <w:lang w:val="en-US"/>
        </w:rPr>
        <w:t xml:space="preserve">attached to the approved </w:t>
      </w:r>
      <w:r>
        <w:rPr>
          <w:lang w:val="en-US"/>
        </w:rPr>
        <w:t>temporary absence</w:t>
      </w:r>
      <w:r w:rsidR="00BE754D" w:rsidRPr="00E81456">
        <w:rPr>
          <w:lang w:val="en-US"/>
        </w:rPr>
        <w:t xml:space="preserve">, nature of escort and approved period of absence </w:t>
      </w:r>
      <w:r>
        <w:rPr>
          <w:lang w:val="en-US"/>
        </w:rPr>
        <w:t xml:space="preserve">from the FDS </w:t>
      </w:r>
      <w:r w:rsidR="00BE754D" w:rsidRPr="00E81456">
        <w:rPr>
          <w:lang w:val="en-US"/>
        </w:rPr>
        <w:t xml:space="preserve">must be recorded in </w:t>
      </w:r>
      <w:r>
        <w:rPr>
          <w:lang w:val="en-US"/>
        </w:rPr>
        <w:t>the client’s</w:t>
      </w:r>
      <w:r w:rsidR="00BE754D" w:rsidRPr="00E81456">
        <w:rPr>
          <w:lang w:val="en-US"/>
        </w:rPr>
        <w:t xml:space="preserve"> </w:t>
      </w:r>
      <w:r w:rsidR="008C1EA8">
        <w:rPr>
          <w:lang w:val="en-US"/>
        </w:rPr>
        <w:t>file</w:t>
      </w:r>
      <w:r w:rsidR="00BE754D" w:rsidRPr="00E81456">
        <w:rPr>
          <w:lang w:val="en-US"/>
        </w:rPr>
        <w:t>.</w:t>
      </w:r>
    </w:p>
    <w:p w14:paraId="70C2E23A" w14:textId="77777777" w:rsidR="00BE754D" w:rsidRPr="00F33DDC" w:rsidRDefault="00BE754D" w:rsidP="00F64F38">
      <w:pPr>
        <w:pStyle w:val="Heading3"/>
        <w:numPr>
          <w:ilvl w:val="1"/>
          <w:numId w:val="16"/>
        </w:numPr>
      </w:pPr>
      <w:r w:rsidRPr="00F33DDC">
        <w:t>LCT or temporary leave outside Queensland</w:t>
      </w:r>
    </w:p>
    <w:p w14:paraId="7F6DC832" w14:textId="77777777" w:rsidR="00BE754D" w:rsidRPr="00EB2408" w:rsidRDefault="00BE754D" w:rsidP="00F64F38">
      <w:pPr>
        <w:jc w:val="both"/>
      </w:pPr>
      <w:r w:rsidRPr="00EB2408">
        <w:t xml:space="preserve">The </w:t>
      </w:r>
      <w:r>
        <w:t xml:space="preserve">Act and the </w:t>
      </w:r>
      <w:r w:rsidRPr="00EB2408">
        <w:rPr>
          <w:i/>
          <w:iCs/>
        </w:rPr>
        <w:t xml:space="preserve">Mental Health Act </w:t>
      </w:r>
      <w:r>
        <w:rPr>
          <w:i/>
          <w:iCs/>
        </w:rPr>
        <w:t>2016</w:t>
      </w:r>
      <w:r>
        <w:rPr>
          <w:iCs/>
        </w:rPr>
        <w:t xml:space="preserve"> (MHA) </w:t>
      </w:r>
      <w:r w:rsidRPr="00EB2408">
        <w:t xml:space="preserve">provide for the MHRT to hear </w:t>
      </w:r>
      <w:r>
        <w:t>a</w:t>
      </w:r>
      <w:r w:rsidRPr="00EB2408">
        <w:t xml:space="preserve">pplications and make </w:t>
      </w:r>
      <w:r>
        <w:t>o</w:t>
      </w:r>
      <w:r w:rsidRPr="00EB2408">
        <w:t>rders, to transfer clients outside of Queensland.</w:t>
      </w:r>
    </w:p>
    <w:p w14:paraId="31A6338E" w14:textId="77777777" w:rsidR="00BE754D" w:rsidRDefault="00BE754D" w:rsidP="00F64F38">
      <w:pPr>
        <w:suppressAutoHyphens/>
        <w:jc w:val="both"/>
      </w:pPr>
      <w:r>
        <w:rPr>
          <w:lang w:val="en-US"/>
        </w:rPr>
        <w:t>T</w:t>
      </w:r>
      <w:r w:rsidRPr="00C406B0">
        <w:rPr>
          <w:lang w:val="en-US"/>
        </w:rPr>
        <w:t xml:space="preserve">here is </w:t>
      </w:r>
      <w:r w:rsidRPr="008749EF">
        <w:rPr>
          <w:lang w:val="en-US"/>
        </w:rPr>
        <w:t xml:space="preserve">no provision in </w:t>
      </w:r>
      <w:r>
        <w:rPr>
          <w:lang w:val="en-US"/>
        </w:rPr>
        <w:t xml:space="preserve">either </w:t>
      </w:r>
      <w:r w:rsidRPr="008749EF">
        <w:rPr>
          <w:lang w:val="en-US"/>
        </w:rPr>
        <w:t>the</w:t>
      </w:r>
      <w:r>
        <w:rPr>
          <w:lang w:val="en-US"/>
        </w:rPr>
        <w:t xml:space="preserve"> Act or the MHA </w:t>
      </w:r>
      <w:r w:rsidRPr="00367EF3">
        <w:rPr>
          <w:lang w:val="en-US"/>
        </w:rPr>
        <w:t xml:space="preserve">which explicitly </w:t>
      </w:r>
      <w:r w:rsidRPr="00EB2408">
        <w:t xml:space="preserve">provides the Director of Forensic Disability with the power to approve the absence of a client from Queensland pursuant to the Temporary Absence provision in section 32A of the </w:t>
      </w:r>
      <w:r>
        <w:rPr>
          <w:iCs/>
        </w:rPr>
        <w:t>Act</w:t>
      </w:r>
      <w:r w:rsidRPr="00EB2408">
        <w:t>. Cons</w:t>
      </w:r>
      <w:r>
        <w:t>equently, a client sh</w:t>
      </w:r>
      <w:r w:rsidRPr="00EB2408">
        <w:t xml:space="preserve">ould make an application to the MHRT for a condition granting them </w:t>
      </w:r>
      <w:r>
        <w:t>LCT</w:t>
      </w:r>
      <w:r w:rsidRPr="00EB2408">
        <w:t xml:space="preserve"> outside of Queensland</w:t>
      </w:r>
      <w:r>
        <w:t xml:space="preserve"> if they are seeking this leave</w:t>
      </w:r>
      <w:r w:rsidRPr="00EB2408">
        <w:t>.</w:t>
      </w:r>
    </w:p>
    <w:p w14:paraId="50149F22" w14:textId="511E1F80" w:rsidR="00BE754D" w:rsidRPr="00EB2408" w:rsidRDefault="00BE754D" w:rsidP="00F64F38">
      <w:pPr>
        <w:suppressAutoHyphens/>
        <w:jc w:val="both"/>
        <w:rPr>
          <w:lang w:val="en-US"/>
        </w:rPr>
      </w:pPr>
      <w:r w:rsidRPr="00EB2408">
        <w:rPr>
          <w:lang w:val="en-US"/>
        </w:rPr>
        <w:t xml:space="preserve">If the MHRT reviews </w:t>
      </w:r>
      <w:r>
        <w:rPr>
          <w:lang w:val="en-US"/>
        </w:rPr>
        <w:t>a client’s LCT</w:t>
      </w:r>
      <w:r w:rsidRPr="00EB2408">
        <w:rPr>
          <w:lang w:val="en-US"/>
        </w:rPr>
        <w:t xml:space="preserve"> </w:t>
      </w:r>
      <w:r>
        <w:rPr>
          <w:lang w:val="en-US"/>
        </w:rPr>
        <w:t xml:space="preserve">while the client is outside of Queensland, </w:t>
      </w:r>
      <w:r w:rsidRPr="00EB2408">
        <w:rPr>
          <w:lang w:val="en-US"/>
        </w:rPr>
        <w:t xml:space="preserve">and decides that the client’s </w:t>
      </w:r>
      <w:r>
        <w:rPr>
          <w:lang w:val="en-US"/>
        </w:rPr>
        <w:t>LCT</w:t>
      </w:r>
      <w:r w:rsidRPr="00EB2408">
        <w:rPr>
          <w:lang w:val="en-US"/>
        </w:rPr>
        <w:t xml:space="preserve"> should be revoked</w:t>
      </w:r>
      <w:r w:rsidR="005B0740">
        <w:rPr>
          <w:lang w:val="en-US"/>
        </w:rPr>
        <w:t xml:space="preserve"> and</w:t>
      </w:r>
      <w:r>
        <w:rPr>
          <w:lang w:val="en-US"/>
        </w:rPr>
        <w:t xml:space="preserve"> if </w:t>
      </w:r>
      <w:r w:rsidRPr="00EB2408">
        <w:rPr>
          <w:lang w:val="en-US"/>
        </w:rPr>
        <w:t xml:space="preserve">the client does not come back voluntarily, the Interstate Agreement provisions in the </w:t>
      </w:r>
      <w:r>
        <w:rPr>
          <w:lang w:val="en-US"/>
        </w:rPr>
        <w:t xml:space="preserve">MHA </w:t>
      </w:r>
      <w:r w:rsidR="005B0740">
        <w:rPr>
          <w:lang w:val="en-US"/>
        </w:rPr>
        <w:t>will likely be</w:t>
      </w:r>
      <w:r w:rsidRPr="00EB2408">
        <w:rPr>
          <w:lang w:val="en-US"/>
        </w:rPr>
        <w:t xml:space="preserve"> enacted </w:t>
      </w:r>
      <w:r>
        <w:rPr>
          <w:lang w:val="en-US"/>
        </w:rPr>
        <w:t>to</w:t>
      </w:r>
      <w:r w:rsidRPr="00EB2408">
        <w:rPr>
          <w:lang w:val="en-US"/>
        </w:rPr>
        <w:t xml:space="preserve"> detain and </w:t>
      </w:r>
      <w:r>
        <w:rPr>
          <w:lang w:val="en-US"/>
        </w:rPr>
        <w:t>return the client to Queensland</w:t>
      </w:r>
      <w:r w:rsidRPr="00EB2408">
        <w:rPr>
          <w:lang w:val="en-US"/>
        </w:rPr>
        <w:t>. However, these arrangements will involve transferring the client to an authorised mental health service</w:t>
      </w:r>
      <w:r>
        <w:rPr>
          <w:lang w:val="en-US"/>
        </w:rPr>
        <w:t xml:space="preserve"> (AMHS)</w:t>
      </w:r>
      <w:r w:rsidRPr="00EB2408">
        <w:rPr>
          <w:lang w:val="en-US"/>
        </w:rPr>
        <w:t xml:space="preserve"> (an administrative arrangement which is subject to agreement between the Director</w:t>
      </w:r>
      <w:r>
        <w:rPr>
          <w:lang w:val="en-US"/>
        </w:rPr>
        <w:t xml:space="preserve"> of Forensic Disability and the Chief Psychiatrist</w:t>
      </w:r>
      <w:r w:rsidRPr="00EB2408">
        <w:rPr>
          <w:lang w:val="en-US"/>
        </w:rPr>
        <w:t>)</w:t>
      </w:r>
      <w:r w:rsidR="005B0740">
        <w:rPr>
          <w:lang w:val="en-US"/>
        </w:rPr>
        <w:t xml:space="preserve"> before return to the FDS</w:t>
      </w:r>
      <w:r w:rsidRPr="00EB2408">
        <w:rPr>
          <w:lang w:val="en-US"/>
        </w:rPr>
        <w:t xml:space="preserve">. </w:t>
      </w:r>
    </w:p>
    <w:p w14:paraId="4229BF4E" w14:textId="77777777" w:rsidR="00BE754D" w:rsidRDefault="00BE754D" w:rsidP="00F64F38">
      <w:pPr>
        <w:pStyle w:val="Heading3"/>
        <w:numPr>
          <w:ilvl w:val="1"/>
          <w:numId w:val="16"/>
        </w:numPr>
      </w:pPr>
      <w:r w:rsidRPr="00F33DDC">
        <w:t>Absenteeism and/or non-compliance with conditions of LCT</w:t>
      </w:r>
    </w:p>
    <w:p w14:paraId="569CF903" w14:textId="77777777" w:rsidR="00BE754D" w:rsidRDefault="00BE754D" w:rsidP="00F64F38">
      <w:pPr>
        <w:suppressAutoHyphens/>
        <w:jc w:val="both"/>
        <w:rPr>
          <w:lang w:val="en-US"/>
        </w:rPr>
      </w:pPr>
      <w:r w:rsidRPr="00E81456">
        <w:rPr>
          <w:lang w:val="en-US"/>
        </w:rPr>
        <w:t>Forensic disability clients are considered to be absentees or non-compliant with the conditions of LCT and temporary leave if they:</w:t>
      </w:r>
    </w:p>
    <w:p w14:paraId="5F09D496" w14:textId="77777777" w:rsidR="00BE754D" w:rsidRPr="001F0590" w:rsidRDefault="00BE754D" w:rsidP="00F64F38">
      <w:pPr>
        <w:pStyle w:val="ListParagraph"/>
        <w:numPr>
          <w:ilvl w:val="0"/>
          <w:numId w:val="32"/>
        </w:numPr>
        <w:jc w:val="both"/>
        <w:rPr>
          <w:rFonts w:ascii="Arial" w:hAnsi="Arial" w:cs="Arial"/>
          <w:sz w:val="22"/>
          <w:szCs w:val="22"/>
        </w:rPr>
      </w:pPr>
      <w:r w:rsidRPr="001F0590">
        <w:rPr>
          <w:rFonts w:ascii="Arial" w:hAnsi="Arial" w:cs="Arial"/>
          <w:sz w:val="22"/>
          <w:szCs w:val="22"/>
        </w:rPr>
        <w:t>abscond while being transported to the venue where the LCT will be provided;</w:t>
      </w:r>
    </w:p>
    <w:p w14:paraId="172D58EF" w14:textId="7528EEF2" w:rsidR="00BE754D" w:rsidRDefault="00BE754D" w:rsidP="00F64F38">
      <w:pPr>
        <w:pStyle w:val="ListParagraph"/>
        <w:numPr>
          <w:ilvl w:val="0"/>
          <w:numId w:val="32"/>
        </w:numPr>
        <w:jc w:val="both"/>
        <w:rPr>
          <w:rFonts w:ascii="Arial" w:hAnsi="Arial" w:cs="Arial"/>
          <w:sz w:val="22"/>
          <w:szCs w:val="22"/>
        </w:rPr>
      </w:pPr>
      <w:r w:rsidRPr="001F0590">
        <w:rPr>
          <w:rFonts w:ascii="Arial" w:hAnsi="Arial" w:cs="Arial"/>
          <w:sz w:val="22"/>
          <w:szCs w:val="22"/>
        </w:rPr>
        <w:t>leave the premises where the LCT is being provided; and/or</w:t>
      </w:r>
    </w:p>
    <w:p w14:paraId="0543F7BE" w14:textId="14FBE56F" w:rsidR="00352CA8" w:rsidRDefault="00BE754D" w:rsidP="0015248B">
      <w:pPr>
        <w:pStyle w:val="ListParagraph"/>
        <w:numPr>
          <w:ilvl w:val="0"/>
          <w:numId w:val="32"/>
        </w:numPr>
        <w:jc w:val="both"/>
        <w:rPr>
          <w:rFonts w:ascii="Arial" w:hAnsi="Arial" w:cs="Arial"/>
          <w:sz w:val="22"/>
          <w:szCs w:val="22"/>
        </w:rPr>
      </w:pPr>
      <w:r w:rsidRPr="0015248B">
        <w:rPr>
          <w:rFonts w:ascii="Arial" w:hAnsi="Arial" w:cs="Arial"/>
          <w:sz w:val="22"/>
          <w:szCs w:val="22"/>
        </w:rPr>
        <w:t>extend the period of LCT beyond that stipulated in their IDP without authorisation.</w:t>
      </w:r>
    </w:p>
    <w:p w14:paraId="1E9D8C92" w14:textId="77777777" w:rsidR="0015248B" w:rsidRPr="0015248B" w:rsidRDefault="0015248B" w:rsidP="0015248B">
      <w:pPr>
        <w:pStyle w:val="ListParagraph"/>
        <w:ind w:left="646"/>
        <w:jc w:val="both"/>
        <w:rPr>
          <w:rFonts w:ascii="Arial" w:hAnsi="Arial" w:cs="Arial"/>
          <w:sz w:val="22"/>
          <w:szCs w:val="22"/>
        </w:rPr>
      </w:pPr>
    </w:p>
    <w:p w14:paraId="2F5916D9" w14:textId="77777777" w:rsidR="00915961" w:rsidRDefault="00915961">
      <w:pPr>
        <w:spacing w:after="0"/>
        <w:rPr>
          <w:lang w:val="en-US"/>
        </w:rPr>
      </w:pPr>
      <w:r>
        <w:rPr>
          <w:lang w:val="en-US"/>
        </w:rPr>
        <w:br w:type="page"/>
      </w:r>
    </w:p>
    <w:p w14:paraId="1B83DEE3" w14:textId="63BEF20F" w:rsidR="00BE754D" w:rsidRDefault="00BE754D" w:rsidP="00F64F38">
      <w:pPr>
        <w:suppressAutoHyphens/>
        <w:jc w:val="both"/>
        <w:rPr>
          <w:lang w:val="en-US"/>
        </w:rPr>
      </w:pPr>
      <w:r w:rsidRPr="00E81456">
        <w:rPr>
          <w:lang w:val="en-US"/>
        </w:rPr>
        <w:lastRenderedPageBreak/>
        <w:t xml:space="preserve">The </w:t>
      </w:r>
      <w:r>
        <w:rPr>
          <w:lang w:val="en-US"/>
        </w:rPr>
        <w:t>Senior Practitioner must</w:t>
      </w:r>
      <w:r w:rsidRPr="00E81456">
        <w:rPr>
          <w:lang w:val="en-US"/>
        </w:rPr>
        <w:t xml:space="preserve"> provide a written notice to a client on LCT to return to the FDS</w:t>
      </w:r>
      <w:r>
        <w:rPr>
          <w:lang w:val="en-US"/>
        </w:rPr>
        <w:t xml:space="preserve"> in the following circumstances</w:t>
      </w:r>
      <w:r w:rsidRPr="00E81456">
        <w:rPr>
          <w:lang w:val="en-US"/>
        </w:rPr>
        <w:t>:</w:t>
      </w:r>
    </w:p>
    <w:p w14:paraId="2D0A5A0C" w14:textId="77777777" w:rsidR="00BE754D" w:rsidRPr="001F0590" w:rsidRDefault="00BE754D" w:rsidP="00F64F38">
      <w:pPr>
        <w:pStyle w:val="ListParagraph"/>
        <w:numPr>
          <w:ilvl w:val="0"/>
          <w:numId w:val="32"/>
        </w:numPr>
        <w:jc w:val="both"/>
        <w:rPr>
          <w:rFonts w:ascii="Arial" w:hAnsi="Arial" w:cs="Arial"/>
          <w:sz w:val="22"/>
          <w:szCs w:val="22"/>
        </w:rPr>
      </w:pPr>
      <w:r w:rsidRPr="001F0590">
        <w:rPr>
          <w:rFonts w:ascii="Arial" w:hAnsi="Arial" w:cs="Arial"/>
          <w:sz w:val="22"/>
          <w:szCs w:val="22"/>
        </w:rPr>
        <w:t>to give effect to a change in their LCT Event plan;</w:t>
      </w:r>
    </w:p>
    <w:p w14:paraId="012D3EF4" w14:textId="77777777" w:rsidR="00BE754D" w:rsidRPr="001F0590" w:rsidRDefault="00BE754D" w:rsidP="00F64F38">
      <w:pPr>
        <w:pStyle w:val="ListParagraph"/>
        <w:numPr>
          <w:ilvl w:val="0"/>
          <w:numId w:val="32"/>
        </w:numPr>
        <w:jc w:val="both"/>
        <w:rPr>
          <w:rFonts w:ascii="Arial" w:hAnsi="Arial" w:cs="Arial"/>
          <w:sz w:val="22"/>
          <w:szCs w:val="22"/>
        </w:rPr>
      </w:pPr>
      <w:r w:rsidRPr="001F0590">
        <w:rPr>
          <w:rFonts w:ascii="Arial" w:hAnsi="Arial" w:cs="Arial"/>
          <w:sz w:val="22"/>
          <w:szCs w:val="22"/>
        </w:rPr>
        <w:t>to give effect to a decision on the order of the MHC or the MHRT to revoke LCT; or</w:t>
      </w:r>
    </w:p>
    <w:p w14:paraId="3FD4B9C8" w14:textId="1D268E30" w:rsidR="00BE754D" w:rsidRDefault="00BE754D" w:rsidP="00F64F38">
      <w:pPr>
        <w:pStyle w:val="ListParagraph"/>
        <w:numPr>
          <w:ilvl w:val="0"/>
          <w:numId w:val="32"/>
        </w:numPr>
        <w:jc w:val="both"/>
        <w:rPr>
          <w:rFonts w:ascii="Arial" w:hAnsi="Arial" w:cs="Arial"/>
          <w:sz w:val="22"/>
          <w:szCs w:val="22"/>
        </w:rPr>
      </w:pPr>
      <w:r w:rsidRPr="001F0590">
        <w:rPr>
          <w:rFonts w:ascii="Arial" w:hAnsi="Arial" w:cs="Arial"/>
          <w:sz w:val="22"/>
          <w:szCs w:val="22"/>
        </w:rPr>
        <w:t>if the Senior Practitioner reasonably believes the client has not complied with the conditions of their LCT Event plan and it is necessary for them to return in the interests of the health and safety of the client or others.</w:t>
      </w:r>
    </w:p>
    <w:p w14:paraId="6B299669" w14:textId="77777777" w:rsidR="0015248B" w:rsidRPr="001F0590" w:rsidRDefault="0015248B" w:rsidP="0015248B">
      <w:pPr>
        <w:pStyle w:val="ListParagraph"/>
        <w:ind w:left="646"/>
        <w:jc w:val="both"/>
        <w:rPr>
          <w:rFonts w:ascii="Arial" w:hAnsi="Arial" w:cs="Arial"/>
          <w:sz w:val="22"/>
          <w:szCs w:val="22"/>
        </w:rPr>
      </w:pPr>
    </w:p>
    <w:p w14:paraId="078B43BB" w14:textId="77777777" w:rsidR="00BE754D" w:rsidRPr="00EB2408" w:rsidRDefault="00BE754D" w:rsidP="00F64F38">
      <w:pPr>
        <w:jc w:val="both"/>
      </w:pPr>
      <w:r>
        <w:t>If it is not practicable to return a client to the FDS, then the client may be taken to an AMHS for temporary detention, but only if the</w:t>
      </w:r>
      <w:r w:rsidRPr="00EB2408">
        <w:t xml:space="preserve"> D</w:t>
      </w:r>
      <w:r>
        <w:t>irector of Forensic Disability</w:t>
      </w:r>
      <w:r w:rsidRPr="00EB2408">
        <w:t xml:space="preserve"> and </w:t>
      </w:r>
      <w:r>
        <w:t xml:space="preserve">the </w:t>
      </w:r>
      <w:r w:rsidRPr="00EB2408">
        <w:t xml:space="preserve">Chief Psychiatrist </w:t>
      </w:r>
      <w:r>
        <w:t xml:space="preserve">are informed and have reached an agreement </w:t>
      </w:r>
      <w:r w:rsidRPr="00EB2408">
        <w:t>pursuant to s</w:t>
      </w:r>
      <w:r>
        <w:t xml:space="preserve">ection </w:t>
      </w:r>
      <w:r w:rsidRPr="00EB2408">
        <w:t>113</w:t>
      </w:r>
      <w:r>
        <w:t xml:space="preserve"> </w:t>
      </w:r>
      <w:r w:rsidRPr="00DD0B03">
        <w:t>of the Act</w:t>
      </w:r>
      <w:r>
        <w:t>.</w:t>
      </w:r>
    </w:p>
    <w:p w14:paraId="403D4605" w14:textId="77777777" w:rsidR="00BE754D" w:rsidRPr="00F33DDC" w:rsidRDefault="00BE754D" w:rsidP="00F64F38">
      <w:pPr>
        <w:pStyle w:val="Heading3"/>
        <w:numPr>
          <w:ilvl w:val="1"/>
          <w:numId w:val="16"/>
        </w:numPr>
      </w:pPr>
      <w:r w:rsidRPr="00F33DDC">
        <w:t xml:space="preserve">Cessation of approval for </w:t>
      </w:r>
      <w:r>
        <w:t>C</w:t>
      </w:r>
      <w:r w:rsidRPr="00F33DDC">
        <w:t xml:space="preserve">ommunity </w:t>
      </w:r>
      <w:r>
        <w:t>T</w:t>
      </w:r>
      <w:r w:rsidRPr="00F33DDC">
        <w:t>reatment</w:t>
      </w:r>
    </w:p>
    <w:p w14:paraId="09B41033" w14:textId="2416DD02" w:rsidR="00BE754D" w:rsidRPr="00E81456" w:rsidRDefault="00BE754D" w:rsidP="00F64F38">
      <w:pPr>
        <w:suppressAutoHyphens/>
        <w:jc w:val="both"/>
        <w:rPr>
          <w:lang w:val="en-US"/>
        </w:rPr>
      </w:pPr>
      <w:r w:rsidRPr="00E81456">
        <w:rPr>
          <w:lang w:val="en-US"/>
        </w:rPr>
        <w:t xml:space="preserve">LCT will cease when </w:t>
      </w:r>
      <w:r>
        <w:rPr>
          <w:lang w:val="en-US"/>
        </w:rPr>
        <w:t>the</w:t>
      </w:r>
      <w:r w:rsidRPr="00E81456">
        <w:rPr>
          <w:lang w:val="en-US"/>
        </w:rPr>
        <w:t xml:space="preserve"> </w:t>
      </w:r>
      <w:r>
        <w:rPr>
          <w:lang w:val="en-US"/>
        </w:rPr>
        <w:t xml:space="preserve">LCT ordered or approved by the MHC or MHRT for a forensic disability client </w:t>
      </w:r>
      <w:r w:rsidRPr="00E81456">
        <w:rPr>
          <w:lang w:val="en-US"/>
        </w:rPr>
        <w:t>is revoked</w:t>
      </w:r>
      <w:r>
        <w:rPr>
          <w:lang w:val="en-US"/>
        </w:rPr>
        <w:t>.</w:t>
      </w:r>
      <w:r w:rsidRPr="00E81456">
        <w:rPr>
          <w:lang w:val="en-US"/>
        </w:rPr>
        <w:t xml:space="preserve"> </w:t>
      </w:r>
      <w:r>
        <w:rPr>
          <w:lang w:val="en-US"/>
        </w:rPr>
        <w:t>T</w:t>
      </w:r>
      <w:r w:rsidRPr="00E81456">
        <w:rPr>
          <w:lang w:val="en-US"/>
        </w:rPr>
        <w:t xml:space="preserve">he forensic disability client’s IDP </w:t>
      </w:r>
      <w:r>
        <w:rPr>
          <w:lang w:val="en-US"/>
        </w:rPr>
        <w:t xml:space="preserve">must </w:t>
      </w:r>
      <w:r w:rsidRPr="00E81456">
        <w:rPr>
          <w:lang w:val="en-US"/>
        </w:rPr>
        <w:t>be amended</w:t>
      </w:r>
      <w:r>
        <w:rPr>
          <w:lang w:val="en-US"/>
        </w:rPr>
        <w:t xml:space="preserve"> by the Senior Practitioner</w:t>
      </w:r>
      <w:r w:rsidRPr="00E81456">
        <w:rPr>
          <w:lang w:val="en-US"/>
        </w:rPr>
        <w:t xml:space="preserve"> to reflect this change</w:t>
      </w:r>
      <w:r>
        <w:rPr>
          <w:lang w:val="en-US"/>
        </w:rPr>
        <w:t>. The Senior Practitioner will oversee alternative arrangements to continue to develop the client’s skills that meet their rehabilitative goals while LCT is ceased</w:t>
      </w:r>
      <w:r w:rsidRPr="00E81456">
        <w:rPr>
          <w:lang w:val="en-US"/>
        </w:rPr>
        <w:t xml:space="preserve">. </w:t>
      </w:r>
    </w:p>
    <w:p w14:paraId="610D8BED" w14:textId="084A5431" w:rsidR="00930A78" w:rsidRPr="00B966AD" w:rsidRDefault="00930A78" w:rsidP="00930A78">
      <w:pPr>
        <w:tabs>
          <w:tab w:val="left" w:pos="2552"/>
        </w:tabs>
        <w:spacing w:before="720"/>
      </w:pPr>
      <w:r w:rsidRPr="00B966AD">
        <w:rPr>
          <w:b/>
        </w:rPr>
        <w:t>Date of approval:</w:t>
      </w:r>
      <w:r w:rsidRPr="00B966AD">
        <w:tab/>
      </w:r>
      <w:r w:rsidR="00E40E9D">
        <w:t>09</w:t>
      </w:r>
      <w:r w:rsidR="00E40E9D" w:rsidRPr="00B966AD">
        <w:t xml:space="preserve"> </w:t>
      </w:r>
      <w:r w:rsidR="00E40E9D">
        <w:t>January</w:t>
      </w:r>
      <w:r w:rsidR="00E40E9D" w:rsidRPr="00B966AD">
        <w:t xml:space="preserve"> 202</w:t>
      </w:r>
      <w:r w:rsidR="00E40E9D">
        <w:t>3</w:t>
      </w:r>
    </w:p>
    <w:p w14:paraId="5FBDF703" w14:textId="40BE73C7" w:rsidR="00930A78" w:rsidRPr="00B966AD" w:rsidRDefault="00930A78" w:rsidP="00930A78">
      <w:pPr>
        <w:tabs>
          <w:tab w:val="left" w:pos="2552"/>
        </w:tabs>
      </w:pPr>
      <w:r w:rsidRPr="00B966AD">
        <w:rPr>
          <w:b/>
        </w:rPr>
        <w:t>Date of operation:</w:t>
      </w:r>
      <w:r w:rsidRPr="00B966AD">
        <w:tab/>
      </w:r>
      <w:r w:rsidR="00E40E9D">
        <w:t>01</w:t>
      </w:r>
      <w:r w:rsidR="00E40E9D" w:rsidRPr="00B966AD">
        <w:t xml:space="preserve"> </w:t>
      </w:r>
      <w:r w:rsidR="00E40E9D">
        <w:t>February</w:t>
      </w:r>
      <w:r w:rsidR="00E40E9D" w:rsidRPr="00B966AD">
        <w:t xml:space="preserve"> 202</w:t>
      </w:r>
      <w:r w:rsidR="00E40E9D">
        <w:t>3</w:t>
      </w:r>
    </w:p>
    <w:p w14:paraId="15BA07DB" w14:textId="0AEEA385" w:rsidR="00930A78" w:rsidRPr="00B966AD" w:rsidRDefault="00930A78" w:rsidP="00930A78">
      <w:pPr>
        <w:pBdr>
          <w:bottom w:val="single" w:sz="6" w:space="1" w:color="auto"/>
        </w:pBdr>
        <w:tabs>
          <w:tab w:val="left" w:pos="2552"/>
        </w:tabs>
      </w:pPr>
      <w:r w:rsidRPr="00B966AD">
        <w:rPr>
          <w:b/>
        </w:rPr>
        <w:t>Date to be reviewed:</w:t>
      </w:r>
      <w:r w:rsidRPr="00B966AD">
        <w:tab/>
      </w:r>
      <w:r w:rsidR="00E40E9D">
        <w:t>01</w:t>
      </w:r>
      <w:r w:rsidR="00AE0559" w:rsidRPr="00B966AD">
        <w:t xml:space="preserve"> </w:t>
      </w:r>
      <w:r w:rsidR="00E40E9D">
        <w:t>February</w:t>
      </w:r>
      <w:r w:rsidR="00E40E9D" w:rsidRPr="00B966AD">
        <w:t xml:space="preserve"> </w:t>
      </w:r>
      <w:r w:rsidRPr="00B966AD">
        <w:t>202</w:t>
      </w:r>
      <w:r w:rsidR="0023446B">
        <w:t>6</w:t>
      </w:r>
    </w:p>
    <w:p w14:paraId="1CCC2744" w14:textId="2BFAF6E3" w:rsidR="00930A78" w:rsidRPr="00B966AD" w:rsidRDefault="0023446B" w:rsidP="00930A78">
      <w:pPr>
        <w:tabs>
          <w:tab w:val="left" w:pos="2552"/>
        </w:tabs>
      </w:pPr>
      <w:r>
        <w:rPr>
          <w:b/>
        </w:rPr>
        <w:t>Designation</w:t>
      </w:r>
      <w:r w:rsidR="00930A78" w:rsidRPr="00B966AD">
        <w:rPr>
          <w:b/>
        </w:rPr>
        <w:t>:</w:t>
      </w:r>
      <w:r w:rsidR="00930A78" w:rsidRPr="00B966AD">
        <w:tab/>
        <w:t>Director of Forensic Disability</w:t>
      </w:r>
    </w:p>
    <w:p w14:paraId="5F0B12D9" w14:textId="0BCF9B48" w:rsidR="00930A78" w:rsidRPr="00B966AD" w:rsidRDefault="00930A78" w:rsidP="00930A78">
      <w:pPr>
        <w:pBdr>
          <w:bottom w:val="single" w:sz="6" w:space="1" w:color="auto"/>
        </w:pBdr>
        <w:tabs>
          <w:tab w:val="left" w:pos="2552"/>
        </w:tabs>
      </w:pPr>
      <w:r w:rsidRPr="00B966AD">
        <w:rPr>
          <w:b/>
        </w:rPr>
        <w:t>Help Contact:</w:t>
      </w:r>
      <w:r w:rsidRPr="00B966AD">
        <w:tab/>
      </w:r>
      <w:hyperlink r:id="rId8" w:history="1">
        <w:r w:rsidR="0023446B">
          <w:rPr>
            <w:color w:val="0000FF" w:themeColor="hyperlink"/>
            <w:u w:val="single"/>
          </w:rPr>
          <w:t>directorforensicdisability@dsdsatsip.qld.gov.au</w:t>
        </w:r>
      </w:hyperlink>
    </w:p>
    <w:p w14:paraId="46DF030C" w14:textId="77777777" w:rsidR="00930A78" w:rsidRPr="00B966AD" w:rsidRDefault="00930A78" w:rsidP="00930A78">
      <w:r w:rsidRPr="00B966AD">
        <w:rPr>
          <w:bCs/>
          <w:sz w:val="24"/>
        </w:rPr>
        <w:t>Jenny Lynas</w:t>
      </w:r>
      <w:r w:rsidRPr="00B966AD">
        <w:rPr>
          <w:bCs/>
          <w:sz w:val="24"/>
        </w:rPr>
        <w:br/>
        <w:t>Director of Forensic Disability</w:t>
      </w:r>
    </w:p>
    <w:p w14:paraId="7484B2A1" w14:textId="77777777" w:rsidR="00930A78" w:rsidRDefault="00930A78" w:rsidP="00A72C57">
      <w:pPr>
        <w:rPr>
          <w:lang w:val="en-US"/>
        </w:rPr>
        <w:sectPr w:rsidR="00930A78" w:rsidSect="00E6395C">
          <w:headerReference w:type="default" r:id="rId9"/>
          <w:footerReference w:type="default" r:id="rId10"/>
          <w:headerReference w:type="first" r:id="rId11"/>
          <w:footerReference w:type="first" r:id="rId12"/>
          <w:type w:val="continuous"/>
          <w:pgSz w:w="11906" w:h="16838"/>
          <w:pgMar w:top="2268" w:right="1134" w:bottom="1701" w:left="1134" w:header="709" w:footer="1474" w:gutter="0"/>
          <w:cols w:space="709"/>
          <w:titlePg/>
          <w:docGrid w:linePitch="360"/>
        </w:sectPr>
      </w:pPr>
    </w:p>
    <w:p w14:paraId="21C5D170" w14:textId="77777777" w:rsidR="00A72C57" w:rsidRPr="00A72C57" w:rsidRDefault="00A72C57" w:rsidP="00A72C57">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B544" w14:textId="77777777" w:rsidR="003C1FA6" w:rsidRDefault="003C1FA6">
      <w:r>
        <w:separator/>
      </w:r>
    </w:p>
  </w:endnote>
  <w:endnote w:type="continuationSeparator" w:id="0">
    <w:p w14:paraId="5E5B3576" w14:textId="77777777" w:rsidR="003C1FA6" w:rsidRDefault="003C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917317"/>
      <w:docPartObj>
        <w:docPartGallery w:val="Page Numbers (Bottom of Page)"/>
        <w:docPartUnique/>
      </w:docPartObj>
    </w:sdtPr>
    <w:sdtEndPr>
      <w:rPr>
        <w:noProof/>
      </w:rPr>
    </w:sdtEndPr>
    <w:sdtContent>
      <w:p w14:paraId="6AC521CD" w14:textId="77777777" w:rsidR="004D6888" w:rsidRDefault="004D6888">
        <w:pPr>
          <w:pStyle w:val="Footer"/>
          <w:jc w:val="right"/>
        </w:pPr>
        <w:r>
          <w:fldChar w:fldCharType="begin"/>
        </w:r>
        <w:r>
          <w:instrText xml:space="preserve"> PAGE   \* MERGEFORMAT </w:instrText>
        </w:r>
        <w:r>
          <w:fldChar w:fldCharType="separate"/>
        </w:r>
        <w:r w:rsidR="00136B6D">
          <w:rPr>
            <w:noProof/>
          </w:rPr>
          <w:t>2</w:t>
        </w:r>
        <w:r>
          <w:rPr>
            <w:noProof/>
          </w:rPr>
          <w:fldChar w:fldCharType="end"/>
        </w:r>
      </w:p>
    </w:sdtContent>
  </w:sdt>
  <w:p w14:paraId="27AEA8DD" w14:textId="77777777" w:rsidR="004D6888" w:rsidRDefault="004D6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132745"/>
      <w:docPartObj>
        <w:docPartGallery w:val="Page Numbers (Bottom of Page)"/>
        <w:docPartUnique/>
      </w:docPartObj>
    </w:sdtPr>
    <w:sdtEndPr>
      <w:rPr>
        <w:noProof/>
      </w:rPr>
    </w:sdtEndPr>
    <w:sdtContent>
      <w:p w14:paraId="27C51F95" w14:textId="77777777" w:rsidR="004D6888" w:rsidRDefault="004D6888">
        <w:pPr>
          <w:pStyle w:val="Footer"/>
          <w:jc w:val="right"/>
        </w:pPr>
        <w:r>
          <w:fldChar w:fldCharType="begin"/>
        </w:r>
        <w:r>
          <w:instrText xml:space="preserve"> PAGE   \* MERGEFORMAT </w:instrText>
        </w:r>
        <w:r>
          <w:fldChar w:fldCharType="separate"/>
        </w:r>
        <w:r w:rsidR="00136B6D">
          <w:rPr>
            <w:noProof/>
          </w:rPr>
          <w:t>1</w:t>
        </w:r>
        <w:r>
          <w:rPr>
            <w:noProof/>
          </w:rPr>
          <w:fldChar w:fldCharType="end"/>
        </w:r>
      </w:p>
    </w:sdtContent>
  </w:sdt>
  <w:p w14:paraId="505954F2" w14:textId="77777777" w:rsidR="004D6888" w:rsidRDefault="004D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D726" w14:textId="77777777" w:rsidR="003C1FA6" w:rsidRDefault="003C1FA6">
      <w:r>
        <w:separator/>
      </w:r>
    </w:p>
  </w:footnote>
  <w:footnote w:type="continuationSeparator" w:id="0">
    <w:p w14:paraId="05044DAA" w14:textId="77777777" w:rsidR="003C1FA6" w:rsidRDefault="003C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DC6E" w14:textId="77777777" w:rsidR="00B21459" w:rsidRDefault="00E6395C">
    <w:pPr>
      <w:pStyle w:val="Header"/>
    </w:pPr>
    <w:r>
      <w:rPr>
        <w:noProof/>
      </w:rPr>
      <w:drawing>
        <wp:anchor distT="0" distB="0" distL="114300" distR="114300" simplePos="0" relativeHeight="251661312" behindDoc="1" locked="0" layoutInCell="1" allowOverlap="1" wp14:anchorId="3319049C" wp14:editId="61D2AD4F">
          <wp:simplePos x="0" y="0"/>
          <wp:positionH relativeFrom="column">
            <wp:posOffset>-742950</wp:posOffset>
          </wp:positionH>
          <wp:positionV relativeFrom="paragraph">
            <wp:posOffset>-457835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2F67" w14:textId="77777777" w:rsidR="00507C22" w:rsidRPr="00507C22" w:rsidRDefault="00507C22" w:rsidP="00507C22">
    <w:pPr>
      <w:pStyle w:val="Header"/>
    </w:pPr>
    <w:r>
      <w:rPr>
        <w:noProof/>
      </w:rPr>
      <w:drawing>
        <wp:anchor distT="0" distB="0" distL="114300" distR="114300" simplePos="0" relativeHeight="251659264" behindDoc="1" locked="0" layoutInCell="1" allowOverlap="1" wp14:anchorId="6A4FAB54" wp14:editId="0D6CAA7B">
          <wp:simplePos x="0" y="0"/>
          <wp:positionH relativeFrom="page">
            <wp:posOffset>0</wp:posOffset>
          </wp:positionH>
          <wp:positionV relativeFrom="page">
            <wp:posOffset>8353</wp:posOffset>
          </wp:positionV>
          <wp:extent cx="7563599" cy="10690735"/>
          <wp:effectExtent l="0" t="0" r="0" b="0"/>
          <wp:wrapNone/>
          <wp:docPr id="4" name="Picture 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212"/>
    <w:multiLevelType w:val="hybridMultilevel"/>
    <w:tmpl w:val="288AA8EA"/>
    <w:lvl w:ilvl="0" w:tplc="9C48E990">
      <w:start w:val="1"/>
      <w:numFmt w:val="bullet"/>
      <w:lvlText w:val=""/>
      <w:lvlJc w:val="left"/>
      <w:pPr>
        <w:ind w:left="360" w:hanging="360"/>
      </w:pPr>
      <w:rPr>
        <w:rFonts w:ascii="Symbol" w:hAnsi="Symbol" w:hint="default"/>
      </w:rPr>
    </w:lvl>
    <w:lvl w:ilvl="1" w:tplc="9C48E990">
      <w:start w:val="1"/>
      <w:numFmt w:val="bullet"/>
      <w:lvlText w:val=""/>
      <w:lvlJc w:val="left"/>
      <w:pPr>
        <w:ind w:left="357" w:hanging="357"/>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1E6592"/>
    <w:multiLevelType w:val="hybridMultilevel"/>
    <w:tmpl w:val="DDBAA8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EE29C7"/>
    <w:multiLevelType w:val="hybridMultilevel"/>
    <w:tmpl w:val="F372F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C1F0E"/>
    <w:multiLevelType w:val="hybridMultilevel"/>
    <w:tmpl w:val="457E6EBE"/>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0ED1144D"/>
    <w:multiLevelType w:val="hybridMultilevel"/>
    <w:tmpl w:val="18446178"/>
    <w:lvl w:ilvl="0" w:tplc="D79E65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6C3404"/>
    <w:multiLevelType w:val="hybridMultilevel"/>
    <w:tmpl w:val="986A8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6B42AD"/>
    <w:multiLevelType w:val="hybridMultilevel"/>
    <w:tmpl w:val="3EC8E01C"/>
    <w:lvl w:ilvl="0" w:tplc="0C090001">
      <w:start w:val="1"/>
      <w:numFmt w:val="bullet"/>
      <w:lvlText w:val=""/>
      <w:lvlJc w:val="left"/>
      <w:pPr>
        <w:ind w:left="-708" w:hanging="360"/>
      </w:pPr>
      <w:rPr>
        <w:rFonts w:ascii="Symbol" w:hAnsi="Symbol" w:hint="default"/>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7" w15:restartNumberingAfterBreak="0">
    <w:nsid w:val="1C0C3557"/>
    <w:multiLevelType w:val="multilevel"/>
    <w:tmpl w:val="DA50CD4C"/>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E232EE"/>
    <w:multiLevelType w:val="hybridMultilevel"/>
    <w:tmpl w:val="15362EA2"/>
    <w:lvl w:ilvl="0" w:tplc="F79CCE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0C2CBF"/>
    <w:multiLevelType w:val="hybridMultilevel"/>
    <w:tmpl w:val="5316E9DE"/>
    <w:lvl w:ilvl="0" w:tplc="A5D45874">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747DF8"/>
    <w:multiLevelType w:val="hybridMultilevel"/>
    <w:tmpl w:val="F05C7B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8241728"/>
    <w:multiLevelType w:val="hybridMultilevel"/>
    <w:tmpl w:val="47D069C6"/>
    <w:lvl w:ilvl="0" w:tplc="A5D45874">
      <w:start w:val="1"/>
      <w:numFmt w:val="bullet"/>
      <w:lvlText w:val=""/>
      <w:lvlJc w:val="left"/>
      <w:pPr>
        <w:ind w:left="357" w:hanging="357"/>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30CD58B2"/>
    <w:multiLevelType w:val="hybridMultilevel"/>
    <w:tmpl w:val="02EEDC0C"/>
    <w:lvl w:ilvl="0" w:tplc="23C211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EB7684"/>
    <w:multiLevelType w:val="multilevel"/>
    <w:tmpl w:val="EAFC48C4"/>
    <w:lvl w:ilvl="0">
      <w:start w:val="6"/>
      <w:numFmt w:val="decimal"/>
      <w:lvlText w:val="%1"/>
      <w:lvlJc w:val="left"/>
      <w:pPr>
        <w:ind w:left="482" w:hanging="482"/>
      </w:pPr>
      <w:rPr>
        <w:rFonts w:hint="default"/>
      </w:rPr>
    </w:lvl>
    <w:lvl w:ilvl="1">
      <w:start w:val="1"/>
      <w:numFmt w:val="decimal"/>
      <w:lvlText w:val="%2."/>
      <w:lvlJc w:val="left"/>
      <w:pPr>
        <w:ind w:left="482" w:hanging="482"/>
      </w:pPr>
      <w:rPr>
        <w:rFonts w:hint="default"/>
      </w:rPr>
    </w:lvl>
    <w:lvl w:ilvl="2">
      <w:start w:val="1"/>
      <w:numFmt w:val="decimal"/>
      <w:lvlText w:val="%1.%2.%3"/>
      <w:lvlJc w:val="left"/>
      <w:pPr>
        <w:ind w:left="482" w:hanging="482"/>
      </w:pPr>
      <w:rPr>
        <w:rFonts w:hint="default"/>
      </w:rPr>
    </w:lvl>
    <w:lvl w:ilvl="3">
      <w:start w:val="1"/>
      <w:numFmt w:val="decimal"/>
      <w:lvlText w:val="%1.%2.%3.%4"/>
      <w:lvlJc w:val="left"/>
      <w:pPr>
        <w:ind w:left="482" w:hanging="482"/>
      </w:pPr>
      <w:rPr>
        <w:rFonts w:hint="default"/>
      </w:rPr>
    </w:lvl>
    <w:lvl w:ilvl="4">
      <w:start w:val="1"/>
      <w:numFmt w:val="decimal"/>
      <w:lvlText w:val="%1.%2.%3.%4.%5"/>
      <w:lvlJc w:val="left"/>
      <w:pPr>
        <w:ind w:left="482" w:hanging="482"/>
      </w:pPr>
      <w:rPr>
        <w:rFonts w:hint="default"/>
      </w:rPr>
    </w:lvl>
    <w:lvl w:ilvl="5">
      <w:start w:val="1"/>
      <w:numFmt w:val="decimal"/>
      <w:lvlText w:val="%1.%2.%3.%4.%5.%6"/>
      <w:lvlJc w:val="left"/>
      <w:pPr>
        <w:ind w:left="482" w:hanging="482"/>
      </w:pPr>
      <w:rPr>
        <w:rFonts w:hint="default"/>
      </w:rPr>
    </w:lvl>
    <w:lvl w:ilvl="6">
      <w:start w:val="1"/>
      <w:numFmt w:val="decimal"/>
      <w:lvlText w:val="%1.%2.%3.%4.%5.%6.%7"/>
      <w:lvlJc w:val="left"/>
      <w:pPr>
        <w:ind w:left="482" w:hanging="482"/>
      </w:pPr>
      <w:rPr>
        <w:rFonts w:hint="default"/>
      </w:rPr>
    </w:lvl>
    <w:lvl w:ilvl="7">
      <w:start w:val="1"/>
      <w:numFmt w:val="decimal"/>
      <w:lvlText w:val="%1.%2.%3.%4.%5.%6.%7.%8"/>
      <w:lvlJc w:val="left"/>
      <w:pPr>
        <w:ind w:left="482" w:hanging="482"/>
      </w:pPr>
      <w:rPr>
        <w:rFonts w:hint="default"/>
      </w:rPr>
    </w:lvl>
    <w:lvl w:ilvl="8">
      <w:start w:val="1"/>
      <w:numFmt w:val="decimal"/>
      <w:lvlText w:val="%1.%2.%3.%4.%5.%6.%7.%8.%9"/>
      <w:lvlJc w:val="left"/>
      <w:pPr>
        <w:ind w:left="482" w:hanging="482"/>
      </w:pPr>
      <w:rPr>
        <w:rFonts w:hint="default"/>
      </w:rPr>
    </w:lvl>
  </w:abstractNum>
  <w:abstractNum w:abstractNumId="14" w15:restartNumberingAfterBreak="0">
    <w:nsid w:val="345B4868"/>
    <w:multiLevelType w:val="hybridMultilevel"/>
    <w:tmpl w:val="E084DCB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5" w15:restartNumberingAfterBreak="0">
    <w:nsid w:val="38152AEC"/>
    <w:multiLevelType w:val="hybridMultilevel"/>
    <w:tmpl w:val="9CEEDF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94D7D59"/>
    <w:multiLevelType w:val="hybridMultilevel"/>
    <w:tmpl w:val="ECD2B684"/>
    <w:lvl w:ilvl="0" w:tplc="82D0F166">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39568E"/>
    <w:multiLevelType w:val="hybridMultilevel"/>
    <w:tmpl w:val="EF88FA84"/>
    <w:lvl w:ilvl="0" w:tplc="D79E65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A43956"/>
    <w:multiLevelType w:val="multilevel"/>
    <w:tmpl w:val="BF024F3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7E482E"/>
    <w:multiLevelType w:val="multilevel"/>
    <w:tmpl w:val="02CEF2C0"/>
    <w:lvl w:ilvl="0">
      <w:start w:val="6"/>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003AFE"/>
    <w:multiLevelType w:val="multilevel"/>
    <w:tmpl w:val="99F6218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50326"/>
    <w:multiLevelType w:val="hybridMultilevel"/>
    <w:tmpl w:val="E3804FC2"/>
    <w:lvl w:ilvl="0" w:tplc="0C090001">
      <w:start w:val="1"/>
      <w:numFmt w:val="bullet"/>
      <w:lvlText w:val=""/>
      <w:lvlJc w:val="left"/>
      <w:pPr>
        <w:ind w:left="646" w:hanging="362"/>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7121FC6"/>
    <w:multiLevelType w:val="multilevel"/>
    <w:tmpl w:val="DA50CD4C"/>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5750FF"/>
    <w:multiLevelType w:val="hybridMultilevel"/>
    <w:tmpl w:val="37C60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B425A6"/>
    <w:multiLevelType w:val="hybridMultilevel"/>
    <w:tmpl w:val="232258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0D63618"/>
    <w:multiLevelType w:val="hybridMultilevel"/>
    <w:tmpl w:val="01406834"/>
    <w:lvl w:ilvl="0" w:tplc="D79E65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AA4D74"/>
    <w:multiLevelType w:val="multilevel"/>
    <w:tmpl w:val="67C0B640"/>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7" w15:restartNumberingAfterBreak="0">
    <w:nsid w:val="62B74859"/>
    <w:multiLevelType w:val="hybridMultilevel"/>
    <w:tmpl w:val="814A8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5A24AC9"/>
    <w:multiLevelType w:val="hybridMultilevel"/>
    <w:tmpl w:val="71322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F3284"/>
    <w:multiLevelType w:val="hybridMultilevel"/>
    <w:tmpl w:val="20384F58"/>
    <w:lvl w:ilvl="0" w:tplc="EE549302">
      <w:start w:val="1"/>
      <w:numFmt w:val="bullet"/>
      <w:lvlText w:val=""/>
      <w:lvlJc w:val="left"/>
      <w:pPr>
        <w:ind w:left="717" w:hanging="71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E263F"/>
    <w:multiLevelType w:val="hybridMultilevel"/>
    <w:tmpl w:val="A90A6762"/>
    <w:lvl w:ilvl="0" w:tplc="D79E65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3A22CD"/>
    <w:multiLevelType w:val="hybridMultilevel"/>
    <w:tmpl w:val="AF7A8452"/>
    <w:lvl w:ilvl="0" w:tplc="0C090001">
      <w:start w:val="1"/>
      <w:numFmt w:val="bullet"/>
      <w:lvlText w:val=""/>
      <w:lvlJc w:val="left"/>
      <w:pPr>
        <w:ind w:left="646" w:hanging="362"/>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0D62243"/>
    <w:multiLevelType w:val="hybridMultilevel"/>
    <w:tmpl w:val="5504C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5AF1E5D"/>
    <w:multiLevelType w:val="multilevel"/>
    <w:tmpl w:val="C818F96E"/>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CA0364"/>
    <w:multiLevelType w:val="hybridMultilevel"/>
    <w:tmpl w:val="8ABCBD2C"/>
    <w:lvl w:ilvl="0" w:tplc="6C045006">
      <w:start w:val="1"/>
      <w:numFmt w:val="bullet"/>
      <w:lvlText w:val=""/>
      <w:lvlJc w:val="left"/>
      <w:pPr>
        <w:ind w:left="-1062" w:hanging="1080"/>
      </w:pPr>
      <w:rPr>
        <w:rFonts w:ascii="Symbol" w:hAnsi="Symbol" w:hint="default"/>
      </w:rPr>
    </w:lvl>
    <w:lvl w:ilvl="1" w:tplc="0C090003" w:tentative="1">
      <w:start w:val="1"/>
      <w:numFmt w:val="bullet"/>
      <w:lvlText w:val="o"/>
      <w:lvlJc w:val="left"/>
      <w:pPr>
        <w:ind w:left="-702" w:hanging="360"/>
      </w:pPr>
      <w:rPr>
        <w:rFonts w:ascii="Courier New" w:hAnsi="Courier New" w:cs="Courier New" w:hint="default"/>
      </w:rPr>
    </w:lvl>
    <w:lvl w:ilvl="2" w:tplc="0C090005" w:tentative="1">
      <w:start w:val="1"/>
      <w:numFmt w:val="bullet"/>
      <w:lvlText w:val=""/>
      <w:lvlJc w:val="left"/>
      <w:pPr>
        <w:ind w:left="18" w:hanging="360"/>
      </w:pPr>
      <w:rPr>
        <w:rFonts w:ascii="Wingdings" w:hAnsi="Wingdings" w:hint="default"/>
      </w:rPr>
    </w:lvl>
    <w:lvl w:ilvl="3" w:tplc="0C090001" w:tentative="1">
      <w:start w:val="1"/>
      <w:numFmt w:val="bullet"/>
      <w:lvlText w:val=""/>
      <w:lvlJc w:val="left"/>
      <w:pPr>
        <w:ind w:left="738" w:hanging="360"/>
      </w:pPr>
      <w:rPr>
        <w:rFonts w:ascii="Symbol" w:hAnsi="Symbol"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35" w15:restartNumberingAfterBreak="0">
    <w:nsid w:val="7D950D93"/>
    <w:multiLevelType w:val="hybridMultilevel"/>
    <w:tmpl w:val="DD3E29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54888147">
    <w:abstractNumId w:val="0"/>
  </w:num>
  <w:num w:numId="2" w16cid:durableId="1497645403">
    <w:abstractNumId w:val="16"/>
  </w:num>
  <w:num w:numId="3" w16cid:durableId="1001736188">
    <w:abstractNumId w:val="11"/>
  </w:num>
  <w:num w:numId="4" w16cid:durableId="263151238">
    <w:abstractNumId w:val="6"/>
  </w:num>
  <w:num w:numId="5" w16cid:durableId="1345860662">
    <w:abstractNumId w:val="29"/>
  </w:num>
  <w:num w:numId="6" w16cid:durableId="1977253707">
    <w:abstractNumId w:val="12"/>
  </w:num>
  <w:num w:numId="7" w16cid:durableId="45186970">
    <w:abstractNumId w:val="28"/>
  </w:num>
  <w:num w:numId="8" w16cid:durableId="1290666292">
    <w:abstractNumId w:val="14"/>
  </w:num>
  <w:num w:numId="9" w16cid:durableId="120732352">
    <w:abstractNumId w:val="27"/>
  </w:num>
  <w:num w:numId="10" w16cid:durableId="20203269">
    <w:abstractNumId w:val="17"/>
  </w:num>
  <w:num w:numId="11" w16cid:durableId="1269776311">
    <w:abstractNumId w:val="34"/>
  </w:num>
  <w:num w:numId="12" w16cid:durableId="1806122579">
    <w:abstractNumId w:val="3"/>
  </w:num>
  <w:num w:numId="13" w16cid:durableId="1358892236">
    <w:abstractNumId w:val="2"/>
  </w:num>
  <w:num w:numId="14" w16cid:durableId="541404828">
    <w:abstractNumId w:val="13"/>
  </w:num>
  <w:num w:numId="15" w16cid:durableId="647788203">
    <w:abstractNumId w:val="22"/>
  </w:num>
  <w:num w:numId="16" w16cid:durableId="1665081520">
    <w:abstractNumId w:val="26"/>
  </w:num>
  <w:num w:numId="17" w16cid:durableId="1456480071">
    <w:abstractNumId w:val="18"/>
  </w:num>
  <w:num w:numId="18" w16cid:durableId="399134340">
    <w:abstractNumId w:val="19"/>
  </w:num>
  <w:num w:numId="19" w16cid:durableId="1656299610">
    <w:abstractNumId w:val="20"/>
  </w:num>
  <w:num w:numId="20" w16cid:durableId="711736846">
    <w:abstractNumId w:val="7"/>
  </w:num>
  <w:num w:numId="21" w16cid:durableId="953251101">
    <w:abstractNumId w:val="33"/>
  </w:num>
  <w:num w:numId="22" w16cid:durableId="967857755">
    <w:abstractNumId w:val="5"/>
  </w:num>
  <w:num w:numId="23" w16cid:durableId="2116510660">
    <w:abstractNumId w:val="8"/>
  </w:num>
  <w:num w:numId="24" w16cid:durableId="1028532717">
    <w:abstractNumId w:val="9"/>
  </w:num>
  <w:num w:numId="25" w16cid:durableId="692607640">
    <w:abstractNumId w:val="25"/>
  </w:num>
  <w:num w:numId="26" w16cid:durableId="1677535077">
    <w:abstractNumId w:val="30"/>
  </w:num>
  <w:num w:numId="27" w16cid:durableId="1928078087">
    <w:abstractNumId w:val="4"/>
  </w:num>
  <w:num w:numId="28" w16cid:durableId="791359644">
    <w:abstractNumId w:val="1"/>
  </w:num>
  <w:num w:numId="29" w16cid:durableId="67117232">
    <w:abstractNumId w:val="23"/>
  </w:num>
  <w:num w:numId="30" w16cid:durableId="912473212">
    <w:abstractNumId w:val="32"/>
  </w:num>
  <w:num w:numId="31" w16cid:durableId="842402676">
    <w:abstractNumId w:val="31"/>
  </w:num>
  <w:num w:numId="32" w16cid:durableId="336232324">
    <w:abstractNumId w:val="21"/>
  </w:num>
  <w:num w:numId="33" w16cid:durableId="66540106">
    <w:abstractNumId w:val="24"/>
  </w:num>
  <w:num w:numId="34" w16cid:durableId="455295791">
    <w:abstractNumId w:val="35"/>
  </w:num>
  <w:num w:numId="35" w16cid:durableId="693923147">
    <w:abstractNumId w:val="15"/>
  </w:num>
  <w:num w:numId="36" w16cid:durableId="119041140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615F"/>
    <w:rsid w:val="00087D53"/>
    <w:rsid w:val="000915B0"/>
    <w:rsid w:val="00091807"/>
    <w:rsid w:val="00092B8A"/>
    <w:rsid w:val="00093226"/>
    <w:rsid w:val="00093377"/>
    <w:rsid w:val="000940F2"/>
    <w:rsid w:val="00094B28"/>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2380"/>
    <w:rsid w:val="001023B6"/>
    <w:rsid w:val="00103554"/>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3C26"/>
    <w:rsid w:val="0013414A"/>
    <w:rsid w:val="0013444A"/>
    <w:rsid w:val="00135734"/>
    <w:rsid w:val="0013646B"/>
    <w:rsid w:val="00136B6D"/>
    <w:rsid w:val="00142536"/>
    <w:rsid w:val="0014308D"/>
    <w:rsid w:val="001432B5"/>
    <w:rsid w:val="00144301"/>
    <w:rsid w:val="001505BB"/>
    <w:rsid w:val="00150B3B"/>
    <w:rsid w:val="00151394"/>
    <w:rsid w:val="001520A7"/>
    <w:rsid w:val="0015248B"/>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31B9"/>
    <w:rsid w:val="001735DD"/>
    <w:rsid w:val="00176532"/>
    <w:rsid w:val="00176DD3"/>
    <w:rsid w:val="00177212"/>
    <w:rsid w:val="0018163E"/>
    <w:rsid w:val="00181B72"/>
    <w:rsid w:val="00182176"/>
    <w:rsid w:val="0018232C"/>
    <w:rsid w:val="00182717"/>
    <w:rsid w:val="00183D37"/>
    <w:rsid w:val="0018452C"/>
    <w:rsid w:val="0018468F"/>
    <w:rsid w:val="00184986"/>
    <w:rsid w:val="00184D78"/>
    <w:rsid w:val="001874CE"/>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08F7"/>
    <w:rsid w:val="001D15F1"/>
    <w:rsid w:val="001D1D3D"/>
    <w:rsid w:val="001D234D"/>
    <w:rsid w:val="001D2981"/>
    <w:rsid w:val="001D5559"/>
    <w:rsid w:val="001D7B03"/>
    <w:rsid w:val="001E043D"/>
    <w:rsid w:val="001E4ED6"/>
    <w:rsid w:val="001E5C4C"/>
    <w:rsid w:val="001E67EB"/>
    <w:rsid w:val="001F0590"/>
    <w:rsid w:val="001F07EE"/>
    <w:rsid w:val="001F07F7"/>
    <w:rsid w:val="001F0888"/>
    <w:rsid w:val="001F0F8B"/>
    <w:rsid w:val="001F1A76"/>
    <w:rsid w:val="001F1E0A"/>
    <w:rsid w:val="001F1ED4"/>
    <w:rsid w:val="001F2430"/>
    <w:rsid w:val="001F313E"/>
    <w:rsid w:val="001F3E21"/>
    <w:rsid w:val="001F5730"/>
    <w:rsid w:val="001F6B42"/>
    <w:rsid w:val="001F7063"/>
    <w:rsid w:val="001F7884"/>
    <w:rsid w:val="001F7A51"/>
    <w:rsid w:val="00202FF5"/>
    <w:rsid w:val="0020536F"/>
    <w:rsid w:val="002056E6"/>
    <w:rsid w:val="00205967"/>
    <w:rsid w:val="0020637E"/>
    <w:rsid w:val="0021215B"/>
    <w:rsid w:val="002140B9"/>
    <w:rsid w:val="002203A6"/>
    <w:rsid w:val="00226951"/>
    <w:rsid w:val="00226BFA"/>
    <w:rsid w:val="00226D91"/>
    <w:rsid w:val="00230F7C"/>
    <w:rsid w:val="002313BE"/>
    <w:rsid w:val="002314C8"/>
    <w:rsid w:val="00232FAE"/>
    <w:rsid w:val="00233057"/>
    <w:rsid w:val="00233842"/>
    <w:rsid w:val="0023446B"/>
    <w:rsid w:val="00234730"/>
    <w:rsid w:val="00234764"/>
    <w:rsid w:val="002358C4"/>
    <w:rsid w:val="00240804"/>
    <w:rsid w:val="00240EC4"/>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5AE7"/>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4B6D"/>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31F9"/>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3B37"/>
    <w:rsid w:val="0033480A"/>
    <w:rsid w:val="00335E8D"/>
    <w:rsid w:val="003434D6"/>
    <w:rsid w:val="00343A95"/>
    <w:rsid w:val="0034438C"/>
    <w:rsid w:val="00344A78"/>
    <w:rsid w:val="00344DB7"/>
    <w:rsid w:val="00346B55"/>
    <w:rsid w:val="00346C84"/>
    <w:rsid w:val="003526F8"/>
    <w:rsid w:val="00352CA8"/>
    <w:rsid w:val="0035324A"/>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1FA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6C5C"/>
    <w:rsid w:val="003F732D"/>
    <w:rsid w:val="003F7835"/>
    <w:rsid w:val="003F78B9"/>
    <w:rsid w:val="00404398"/>
    <w:rsid w:val="0040542C"/>
    <w:rsid w:val="00405BBC"/>
    <w:rsid w:val="00405FA8"/>
    <w:rsid w:val="00407088"/>
    <w:rsid w:val="00407B5D"/>
    <w:rsid w:val="00410CD9"/>
    <w:rsid w:val="004160F7"/>
    <w:rsid w:val="00416834"/>
    <w:rsid w:val="00417BB5"/>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1E5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6888"/>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F1F"/>
    <w:rsid w:val="00513884"/>
    <w:rsid w:val="00514BEE"/>
    <w:rsid w:val="005155D3"/>
    <w:rsid w:val="00515CD9"/>
    <w:rsid w:val="00515F08"/>
    <w:rsid w:val="005168B7"/>
    <w:rsid w:val="005168B9"/>
    <w:rsid w:val="00516EB4"/>
    <w:rsid w:val="0051797B"/>
    <w:rsid w:val="00517D59"/>
    <w:rsid w:val="00520801"/>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417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0CE"/>
    <w:rsid w:val="005A21C3"/>
    <w:rsid w:val="005A358A"/>
    <w:rsid w:val="005A4518"/>
    <w:rsid w:val="005A64D3"/>
    <w:rsid w:val="005B04B2"/>
    <w:rsid w:val="005B0740"/>
    <w:rsid w:val="005B09E5"/>
    <w:rsid w:val="005B23BF"/>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100C"/>
    <w:rsid w:val="00652492"/>
    <w:rsid w:val="00652F12"/>
    <w:rsid w:val="00654153"/>
    <w:rsid w:val="006563E8"/>
    <w:rsid w:val="0065671E"/>
    <w:rsid w:val="006609C0"/>
    <w:rsid w:val="00660F23"/>
    <w:rsid w:val="006619E6"/>
    <w:rsid w:val="00661A6C"/>
    <w:rsid w:val="00662DB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5DEE"/>
    <w:rsid w:val="00687024"/>
    <w:rsid w:val="00687A7A"/>
    <w:rsid w:val="00691D4D"/>
    <w:rsid w:val="00692A07"/>
    <w:rsid w:val="006953F5"/>
    <w:rsid w:val="00696638"/>
    <w:rsid w:val="006A06BD"/>
    <w:rsid w:val="006A1FE2"/>
    <w:rsid w:val="006A2B45"/>
    <w:rsid w:val="006A3FA7"/>
    <w:rsid w:val="006A5B16"/>
    <w:rsid w:val="006A60DB"/>
    <w:rsid w:val="006A6CB1"/>
    <w:rsid w:val="006A7C14"/>
    <w:rsid w:val="006B0DA8"/>
    <w:rsid w:val="006B2F0B"/>
    <w:rsid w:val="006B304E"/>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03D1"/>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3787"/>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024"/>
    <w:rsid w:val="00795076"/>
    <w:rsid w:val="00795960"/>
    <w:rsid w:val="00795D10"/>
    <w:rsid w:val="00795F71"/>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BA0"/>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9B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1DC"/>
    <w:rsid w:val="00870796"/>
    <w:rsid w:val="00871110"/>
    <w:rsid w:val="00872CD3"/>
    <w:rsid w:val="0087325B"/>
    <w:rsid w:val="0087587B"/>
    <w:rsid w:val="00875BDF"/>
    <w:rsid w:val="008765E5"/>
    <w:rsid w:val="00880216"/>
    <w:rsid w:val="00880E55"/>
    <w:rsid w:val="00881E63"/>
    <w:rsid w:val="008841F6"/>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430D"/>
    <w:rsid w:val="008B556D"/>
    <w:rsid w:val="008B5D77"/>
    <w:rsid w:val="008B6BFF"/>
    <w:rsid w:val="008C0ABC"/>
    <w:rsid w:val="008C1135"/>
    <w:rsid w:val="008C115F"/>
    <w:rsid w:val="008C1EA8"/>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3E57"/>
    <w:rsid w:val="0090472F"/>
    <w:rsid w:val="0090647A"/>
    <w:rsid w:val="009067A8"/>
    <w:rsid w:val="009071FC"/>
    <w:rsid w:val="0091153A"/>
    <w:rsid w:val="00911A43"/>
    <w:rsid w:val="009127D5"/>
    <w:rsid w:val="009135D9"/>
    <w:rsid w:val="00915961"/>
    <w:rsid w:val="00915B01"/>
    <w:rsid w:val="0091706D"/>
    <w:rsid w:val="00917931"/>
    <w:rsid w:val="00917D4D"/>
    <w:rsid w:val="009229CC"/>
    <w:rsid w:val="00922B2D"/>
    <w:rsid w:val="00923072"/>
    <w:rsid w:val="00923681"/>
    <w:rsid w:val="0092524B"/>
    <w:rsid w:val="009254A7"/>
    <w:rsid w:val="009259FE"/>
    <w:rsid w:val="0092633E"/>
    <w:rsid w:val="00926A36"/>
    <w:rsid w:val="00926AAD"/>
    <w:rsid w:val="00930A78"/>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31C0"/>
    <w:rsid w:val="0096478E"/>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5917"/>
    <w:rsid w:val="00A0606D"/>
    <w:rsid w:val="00A1080B"/>
    <w:rsid w:val="00A10FBF"/>
    <w:rsid w:val="00A12574"/>
    <w:rsid w:val="00A13546"/>
    <w:rsid w:val="00A201BE"/>
    <w:rsid w:val="00A20720"/>
    <w:rsid w:val="00A21D0E"/>
    <w:rsid w:val="00A23052"/>
    <w:rsid w:val="00A231EE"/>
    <w:rsid w:val="00A23C64"/>
    <w:rsid w:val="00A24230"/>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13B"/>
    <w:rsid w:val="00AD57FB"/>
    <w:rsid w:val="00AD6214"/>
    <w:rsid w:val="00AD6F72"/>
    <w:rsid w:val="00AE03C9"/>
    <w:rsid w:val="00AE055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0F"/>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A7D5E"/>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E754D"/>
    <w:rsid w:val="00BF09FF"/>
    <w:rsid w:val="00BF29AB"/>
    <w:rsid w:val="00BF38BA"/>
    <w:rsid w:val="00BF3EC9"/>
    <w:rsid w:val="00BF3FCC"/>
    <w:rsid w:val="00BF466D"/>
    <w:rsid w:val="00BF770B"/>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AFF"/>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A6B"/>
    <w:rsid w:val="00CC2FFE"/>
    <w:rsid w:val="00CC4468"/>
    <w:rsid w:val="00CD0933"/>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E63"/>
    <w:rsid w:val="00CF2166"/>
    <w:rsid w:val="00CF2B6C"/>
    <w:rsid w:val="00CF3FAB"/>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5C41"/>
    <w:rsid w:val="00D572C4"/>
    <w:rsid w:val="00D60D53"/>
    <w:rsid w:val="00D6133A"/>
    <w:rsid w:val="00D61FAD"/>
    <w:rsid w:val="00D62B2B"/>
    <w:rsid w:val="00D63CA4"/>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2952"/>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0E9D"/>
    <w:rsid w:val="00E4179E"/>
    <w:rsid w:val="00E42651"/>
    <w:rsid w:val="00E44F67"/>
    <w:rsid w:val="00E45EDE"/>
    <w:rsid w:val="00E45F73"/>
    <w:rsid w:val="00E47FB7"/>
    <w:rsid w:val="00E50AE9"/>
    <w:rsid w:val="00E5210F"/>
    <w:rsid w:val="00E54F4A"/>
    <w:rsid w:val="00E56DCD"/>
    <w:rsid w:val="00E604C5"/>
    <w:rsid w:val="00E60E6A"/>
    <w:rsid w:val="00E60FBD"/>
    <w:rsid w:val="00E624B0"/>
    <w:rsid w:val="00E62AD4"/>
    <w:rsid w:val="00E62E07"/>
    <w:rsid w:val="00E62FBC"/>
    <w:rsid w:val="00E6395C"/>
    <w:rsid w:val="00E65413"/>
    <w:rsid w:val="00E65967"/>
    <w:rsid w:val="00E65A10"/>
    <w:rsid w:val="00E6710A"/>
    <w:rsid w:val="00E714D0"/>
    <w:rsid w:val="00E83B43"/>
    <w:rsid w:val="00E8477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D5249"/>
    <w:rsid w:val="00ED7EAC"/>
    <w:rsid w:val="00EE0678"/>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4F38"/>
    <w:rsid w:val="00F664D6"/>
    <w:rsid w:val="00F66595"/>
    <w:rsid w:val="00F6692B"/>
    <w:rsid w:val="00F67188"/>
    <w:rsid w:val="00F67C39"/>
    <w:rsid w:val="00F701CB"/>
    <w:rsid w:val="00F724AB"/>
    <w:rsid w:val="00F72CEB"/>
    <w:rsid w:val="00F75C64"/>
    <w:rsid w:val="00F75D3F"/>
    <w:rsid w:val="00F7787D"/>
    <w:rsid w:val="00F77B68"/>
    <w:rsid w:val="00F80294"/>
    <w:rsid w:val="00F808EF"/>
    <w:rsid w:val="00F813FD"/>
    <w:rsid w:val="00F8157E"/>
    <w:rsid w:val="00F82753"/>
    <w:rsid w:val="00F83399"/>
    <w:rsid w:val="00F8393F"/>
    <w:rsid w:val="00F8486E"/>
    <w:rsid w:val="00F84B07"/>
    <w:rsid w:val="00F851DC"/>
    <w:rsid w:val="00F8684A"/>
    <w:rsid w:val="00F915B8"/>
    <w:rsid w:val="00F916AC"/>
    <w:rsid w:val="00F92D40"/>
    <w:rsid w:val="00F936BC"/>
    <w:rsid w:val="00F9448D"/>
    <w:rsid w:val="00F947D0"/>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5E06BF"/>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BF770B"/>
    <w:pPr>
      <w:suppressAutoHyphens/>
      <w:spacing w:before="200" w:after="200"/>
      <w:ind w:left="0"/>
      <w:jc w:val="both"/>
      <w:outlineLvl w:val="1"/>
    </w:pPr>
    <w:rPr>
      <w:rFonts w:ascii="Arial" w:hAnsi="Arial" w:cs="Arial"/>
      <w:b/>
    </w:rPr>
  </w:style>
  <w:style w:type="paragraph" w:styleId="Heading3">
    <w:name w:val="heading 3"/>
    <w:basedOn w:val="ListParagraph"/>
    <w:next w:val="Normal"/>
    <w:qFormat/>
    <w:rsid w:val="00BF770B"/>
    <w:pPr>
      <w:tabs>
        <w:tab w:val="left" w:pos="567"/>
      </w:tabs>
      <w:suppressAutoHyphens/>
      <w:spacing w:after="120"/>
      <w:ind w:left="0"/>
      <w:jc w:val="both"/>
      <w:outlineLvl w:val="2"/>
    </w:pPr>
    <w:rPr>
      <w:rFonts w:ascii="Arial" w:hAnsi="Arial" w:cs="Arial"/>
      <w:b/>
      <w:sz w:val="22"/>
      <w:szCs w:val="22"/>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CE3A3B"/>
    <w:pPr>
      <w:spacing w:after="0"/>
      <w:ind w:left="720"/>
      <w:contextualSpacing/>
    </w:pPr>
    <w:rPr>
      <w:rFonts w:ascii="Cambria" w:eastAsia="MS Mincho" w:hAnsi="Cambria"/>
      <w:sz w:val="24"/>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customStyle="1" w:styleId="FooterChar">
    <w:name w:val="Footer Char"/>
    <w:basedOn w:val="DefaultParagraphFont"/>
    <w:link w:val="Footer"/>
    <w:uiPriority w:val="99"/>
    <w:rsid w:val="004D6888"/>
    <w:rPr>
      <w:rFonts w:ascii="Arial" w:hAnsi="Arial"/>
      <w:sz w:val="22"/>
      <w:szCs w:val="24"/>
    </w:rPr>
  </w:style>
  <w:style w:type="paragraph" w:styleId="Title">
    <w:name w:val="Title"/>
    <w:basedOn w:val="Normal"/>
    <w:next w:val="Normal"/>
    <w:link w:val="TitleChar"/>
    <w:qFormat/>
    <w:rsid w:val="0015139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5139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753787"/>
    <w:rPr>
      <w:sz w:val="16"/>
      <w:szCs w:val="16"/>
    </w:rPr>
  </w:style>
  <w:style w:type="paragraph" w:styleId="CommentSubject">
    <w:name w:val="annotation subject"/>
    <w:basedOn w:val="CommentText"/>
    <w:next w:val="CommentText"/>
    <w:link w:val="CommentSubjectChar"/>
    <w:semiHidden/>
    <w:unhideWhenUsed/>
    <w:rsid w:val="00753787"/>
    <w:pPr>
      <w:spacing w:after="240"/>
    </w:pPr>
    <w:rPr>
      <w:rFonts w:cs="Times New Roman"/>
      <w:b/>
      <w:bCs/>
    </w:rPr>
  </w:style>
  <w:style w:type="character" w:customStyle="1" w:styleId="CommentSubjectChar">
    <w:name w:val="Comment Subject Char"/>
    <w:basedOn w:val="CommentTextChar"/>
    <w:link w:val="CommentSubject"/>
    <w:semiHidden/>
    <w:rsid w:val="00753787"/>
    <w:rPr>
      <w:rFonts w:ascii="Arial" w:hAnsi="Arial" w:cs="Arial"/>
      <w:b/>
      <w:bCs/>
    </w:rPr>
  </w:style>
  <w:style w:type="paragraph" w:styleId="Revision">
    <w:name w:val="Revision"/>
    <w:hidden/>
    <w:uiPriority w:val="71"/>
    <w:semiHidden/>
    <w:rsid w:val="00795F7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2BDE3-0CD5-4FF8-91B2-EB1CC4EB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Community Treatment and Other Leave</vt:lpstr>
    </vt:vector>
  </TitlesOfParts>
  <Manager/>
  <Company>Queensland Government</Company>
  <LinksUpToDate>false</LinksUpToDate>
  <CharactersWithSpaces>14777</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Treatment and Other Leave</dc:title>
  <dc:subject>Community Treatment and Other Leave Policy</dc:subject>
  <dc:creator>Director of Forensic Disability</dc:creator>
  <cp:keywords>operational; policy; community; treatment; leave; forensic; disability; client</cp:keywords>
  <cp:lastModifiedBy>Megan Crofts</cp:lastModifiedBy>
  <cp:revision>2</cp:revision>
  <cp:lastPrinted>2022-12-22T22:24:00Z</cp:lastPrinted>
  <dcterms:created xsi:type="dcterms:W3CDTF">2023-05-04T01:43:00Z</dcterms:created>
  <dcterms:modified xsi:type="dcterms:W3CDTF">2023-05-04T01:43:00Z</dcterms:modified>
  <cp:category>Community Treatment and Other Leave</cp:category>
</cp:coreProperties>
</file>