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8578" w14:textId="77777777" w:rsidR="00D91D45" w:rsidRPr="00326612" w:rsidRDefault="00D91D45" w:rsidP="00D91D45">
      <w:pPr>
        <w:pStyle w:val="Heading1"/>
        <w:jc w:val="center"/>
        <w:rPr>
          <w:szCs w:val="48"/>
        </w:rPr>
      </w:pPr>
      <w:r w:rsidRPr="00326612">
        <w:rPr>
          <w:szCs w:val="48"/>
        </w:rPr>
        <w:t>Director of Forensic Disability</w:t>
      </w:r>
    </w:p>
    <w:p w14:paraId="39BDEFD0" w14:textId="77777777" w:rsidR="00D91D45" w:rsidRPr="00326612" w:rsidRDefault="00D91D45" w:rsidP="00D91D45">
      <w:pPr>
        <w:pStyle w:val="Heading1"/>
        <w:jc w:val="center"/>
        <w:rPr>
          <w:szCs w:val="48"/>
        </w:rPr>
      </w:pPr>
      <w:r w:rsidRPr="00326612">
        <w:rPr>
          <w:szCs w:val="48"/>
        </w:rPr>
        <w:t>POLICY</w:t>
      </w:r>
    </w:p>
    <w:p w14:paraId="46A5C046" w14:textId="111C10FA" w:rsidR="00D91D45" w:rsidRPr="00326612" w:rsidRDefault="00D91D45" w:rsidP="00BC3B71">
      <w:pPr>
        <w:pStyle w:val="Heading1"/>
        <w:pBdr>
          <w:bottom w:val="single" w:sz="6" w:space="1" w:color="auto"/>
        </w:pBdr>
        <w:spacing w:before="360" w:after="360"/>
        <w:ind w:left="1440" w:hanging="1440"/>
        <w:rPr>
          <w:b w:val="0"/>
          <w:sz w:val="36"/>
          <w:szCs w:val="36"/>
        </w:rPr>
      </w:pPr>
      <w:r w:rsidRPr="00326612">
        <w:rPr>
          <w:sz w:val="36"/>
          <w:szCs w:val="36"/>
        </w:rPr>
        <w:t>Title:</w:t>
      </w:r>
      <w:r w:rsidRPr="00326612">
        <w:rPr>
          <w:sz w:val="36"/>
          <w:szCs w:val="36"/>
        </w:rPr>
        <w:tab/>
      </w:r>
      <w:r w:rsidR="00760E08" w:rsidRPr="00326612">
        <w:rPr>
          <w:b w:val="0"/>
          <w:sz w:val="36"/>
          <w:szCs w:val="36"/>
        </w:rPr>
        <w:t xml:space="preserve">Clients for </w:t>
      </w:r>
      <w:r w:rsidR="00570E56" w:rsidRPr="00326612">
        <w:rPr>
          <w:b w:val="0"/>
          <w:sz w:val="36"/>
          <w:szCs w:val="36"/>
        </w:rPr>
        <w:t xml:space="preserve">whom </w:t>
      </w:r>
      <w:r w:rsidR="00760E08" w:rsidRPr="00326612">
        <w:rPr>
          <w:b w:val="0"/>
          <w:sz w:val="36"/>
          <w:szCs w:val="36"/>
        </w:rPr>
        <w:t xml:space="preserve">the </w:t>
      </w:r>
      <w:r w:rsidR="00570E56" w:rsidRPr="00326612">
        <w:rPr>
          <w:b w:val="0"/>
          <w:sz w:val="36"/>
          <w:szCs w:val="36"/>
        </w:rPr>
        <w:t xml:space="preserve">offence leading </w:t>
      </w:r>
      <w:r w:rsidR="004C6A88" w:rsidRPr="00326612">
        <w:rPr>
          <w:b w:val="0"/>
          <w:sz w:val="36"/>
          <w:szCs w:val="36"/>
        </w:rPr>
        <w:t>to</w:t>
      </w:r>
      <w:r w:rsidR="004C6A88" w:rsidRPr="00326612">
        <w:rPr>
          <w:b w:val="0"/>
          <w:sz w:val="36"/>
          <w:szCs w:val="36"/>
        </w:rPr>
        <w:br/>
      </w:r>
      <w:r w:rsidRPr="00326612">
        <w:rPr>
          <w:b w:val="0"/>
          <w:sz w:val="36"/>
          <w:szCs w:val="36"/>
        </w:rPr>
        <w:t>the</w:t>
      </w:r>
      <w:r w:rsidR="004C6A88" w:rsidRPr="00326612">
        <w:rPr>
          <w:b w:val="0"/>
          <w:sz w:val="36"/>
          <w:szCs w:val="36"/>
        </w:rPr>
        <w:t xml:space="preserve"> </w:t>
      </w:r>
      <w:r w:rsidRPr="00326612">
        <w:rPr>
          <w:b w:val="0"/>
          <w:sz w:val="36"/>
          <w:szCs w:val="36"/>
        </w:rPr>
        <w:t xml:space="preserve">Forensic Order is </w:t>
      </w:r>
      <w:r w:rsidR="002B7761" w:rsidRPr="00326612">
        <w:rPr>
          <w:b w:val="0"/>
          <w:sz w:val="36"/>
          <w:szCs w:val="36"/>
        </w:rPr>
        <w:t xml:space="preserve">a </w:t>
      </w:r>
      <w:r w:rsidR="00760E08" w:rsidRPr="00326612">
        <w:rPr>
          <w:b w:val="0"/>
          <w:sz w:val="36"/>
          <w:szCs w:val="36"/>
        </w:rPr>
        <w:t>Prescribed O</w:t>
      </w:r>
      <w:r w:rsidRPr="00326612">
        <w:rPr>
          <w:b w:val="0"/>
          <w:sz w:val="36"/>
          <w:szCs w:val="36"/>
        </w:rPr>
        <w:t>ffence</w:t>
      </w:r>
    </w:p>
    <w:p w14:paraId="5FCE22BB" w14:textId="77777777" w:rsidR="00D95A67" w:rsidRPr="00326612" w:rsidRDefault="00D95A67" w:rsidP="00D91D45">
      <w:pPr>
        <w:pStyle w:val="Heading2"/>
        <w:numPr>
          <w:ilvl w:val="1"/>
          <w:numId w:val="14"/>
        </w:numPr>
      </w:pPr>
      <w:r w:rsidRPr="00326612">
        <w:t>Policy Statement</w:t>
      </w:r>
    </w:p>
    <w:p w14:paraId="02174FF5" w14:textId="77777777" w:rsidR="00FF5239" w:rsidRPr="00326612" w:rsidRDefault="00FF5239" w:rsidP="00D91D45">
      <w:pPr>
        <w:jc w:val="both"/>
      </w:pPr>
      <w:r w:rsidRPr="00326612">
        <w:t xml:space="preserve">The </w:t>
      </w:r>
      <w:r w:rsidRPr="00326612">
        <w:rPr>
          <w:i/>
        </w:rPr>
        <w:t>Forensic Disability Act 2011</w:t>
      </w:r>
      <w:r w:rsidRPr="00326612">
        <w:t xml:space="preserve"> (the Act) requires the Director of Forensic Disability to issue a policy about the detention, care and support and protection of forensic disability clients for whom the offence leading to the making of the applicable forensic order is a “prescribed offence” within the meaning of the </w:t>
      </w:r>
      <w:r w:rsidRPr="00326612">
        <w:rPr>
          <w:i/>
        </w:rPr>
        <w:t>Mental Health Act 2016</w:t>
      </w:r>
      <w:r w:rsidRPr="00326612">
        <w:t xml:space="preserve"> (MHA). </w:t>
      </w:r>
    </w:p>
    <w:p w14:paraId="53630C52" w14:textId="77777777" w:rsidR="00D95A67" w:rsidRPr="00326612" w:rsidRDefault="00D95A67" w:rsidP="00D91D45">
      <w:pPr>
        <w:pStyle w:val="Heading2"/>
        <w:numPr>
          <w:ilvl w:val="1"/>
          <w:numId w:val="14"/>
        </w:numPr>
      </w:pPr>
      <w:r w:rsidRPr="00326612">
        <w:t>Purpose</w:t>
      </w:r>
    </w:p>
    <w:p w14:paraId="19DC86FA" w14:textId="1D1331CE" w:rsidR="00FF5239" w:rsidRPr="00326612" w:rsidRDefault="00FF5239" w:rsidP="00D91D45">
      <w:pPr>
        <w:jc w:val="both"/>
      </w:pPr>
      <w:r w:rsidRPr="00326612">
        <w:t xml:space="preserve">This policy outlines </w:t>
      </w:r>
      <w:r w:rsidRPr="00326612">
        <w:rPr>
          <w:spacing w:val="-1"/>
        </w:rPr>
        <w:t>the relevant provisions of the Act and the</w:t>
      </w:r>
      <w:r w:rsidRPr="00326612">
        <w:t xml:space="preserve"> MHA regarding the detention, care and support and protection of forensic disability clients who are subject to a Forensic O</w:t>
      </w:r>
      <w:r w:rsidR="00760E08" w:rsidRPr="00326612">
        <w:t xml:space="preserve">rder </w:t>
      </w:r>
      <w:r w:rsidR="00CF1D9E" w:rsidRPr="00326612">
        <w:t>(</w:t>
      </w:r>
      <w:r w:rsidRPr="00326612">
        <w:t>Disability) made in relation to a “prescribed offence” as defined in the MHA.</w:t>
      </w:r>
    </w:p>
    <w:p w14:paraId="3C32DF7D" w14:textId="77777777" w:rsidR="00D95A67" w:rsidRPr="00326612" w:rsidRDefault="00D95A67" w:rsidP="00D91D45">
      <w:pPr>
        <w:pStyle w:val="Heading2"/>
        <w:numPr>
          <w:ilvl w:val="1"/>
          <w:numId w:val="14"/>
        </w:numPr>
      </w:pPr>
      <w:r w:rsidRPr="00326612">
        <w:t>Scope</w:t>
      </w:r>
    </w:p>
    <w:p w14:paraId="06B4A0DF" w14:textId="3354E53E" w:rsidR="00FF5239" w:rsidRPr="00326612" w:rsidRDefault="00FF5239" w:rsidP="00D91D45">
      <w:pPr>
        <w:suppressAutoHyphens/>
        <w:jc w:val="both"/>
        <w:rPr>
          <w:szCs w:val="22"/>
        </w:rPr>
      </w:pPr>
      <w:r w:rsidRPr="00326612">
        <w:rPr>
          <w:szCs w:val="22"/>
        </w:rPr>
        <w:t xml:space="preserve">This policy applies to the Forensic Disability Service (FDS). The Administrator, </w:t>
      </w:r>
      <w:r w:rsidR="00CF1D9E" w:rsidRPr="00326612">
        <w:rPr>
          <w:szCs w:val="22"/>
        </w:rPr>
        <w:t>S</w:t>
      </w:r>
      <w:r w:rsidRPr="00326612">
        <w:rPr>
          <w:szCs w:val="22"/>
        </w:rPr>
        <w:t xml:space="preserve">enior </w:t>
      </w:r>
      <w:r w:rsidR="00CF1D9E" w:rsidRPr="00326612">
        <w:rPr>
          <w:szCs w:val="22"/>
        </w:rPr>
        <w:t>Practitioner</w:t>
      </w:r>
      <w:r w:rsidRPr="00326612">
        <w:rPr>
          <w:szCs w:val="22"/>
        </w:rPr>
        <w:t xml:space="preserve">, </w:t>
      </w:r>
      <w:r w:rsidR="00CF1D9E" w:rsidRPr="00326612">
        <w:rPr>
          <w:szCs w:val="22"/>
        </w:rPr>
        <w:t>Authorised P</w:t>
      </w:r>
      <w:r w:rsidRPr="00326612">
        <w:rPr>
          <w:szCs w:val="22"/>
        </w:rPr>
        <w:t>ractitioner, or other persons performing a function or exercising a power under the Act must comply with this policy.</w:t>
      </w:r>
    </w:p>
    <w:p w14:paraId="5A8C320C" w14:textId="77777777" w:rsidR="00AC3DF1" w:rsidRPr="00326612" w:rsidRDefault="00AC3DF1" w:rsidP="00D91D45">
      <w:pPr>
        <w:jc w:val="both"/>
      </w:pPr>
      <w:r w:rsidRPr="00326612">
        <w:t>This policy must be implemented in a way that is consistent with the purpose and principles of the Act.</w:t>
      </w:r>
    </w:p>
    <w:p w14:paraId="4F68E88D" w14:textId="77777777" w:rsidR="00D95A67" w:rsidRPr="00326612" w:rsidRDefault="00D95A67" w:rsidP="00D91D45">
      <w:pPr>
        <w:pStyle w:val="Heading2"/>
        <w:numPr>
          <w:ilvl w:val="1"/>
          <w:numId w:val="14"/>
        </w:numPr>
      </w:pPr>
      <w:r w:rsidRPr="00326612">
        <w:t>Authorising Legislation</w:t>
      </w:r>
    </w:p>
    <w:p w14:paraId="06AE3C2C" w14:textId="77777777" w:rsidR="00FF5239" w:rsidRPr="00326612" w:rsidRDefault="00D91D45" w:rsidP="00D91D45">
      <w:pPr>
        <w:jc w:val="both"/>
      </w:pPr>
      <w:r w:rsidRPr="00326612">
        <w:rPr>
          <w:rFonts w:eastAsia="Arial"/>
        </w:rPr>
        <w:t>Section 91(2)(c) of the Act.</w:t>
      </w:r>
    </w:p>
    <w:p w14:paraId="65471A61" w14:textId="77777777" w:rsidR="00B3570F" w:rsidRPr="00326612" w:rsidRDefault="00BE754D" w:rsidP="00D91D45">
      <w:pPr>
        <w:pStyle w:val="Heading2"/>
        <w:numPr>
          <w:ilvl w:val="1"/>
          <w:numId w:val="14"/>
        </w:numPr>
      </w:pPr>
      <w:r w:rsidRPr="00326612">
        <w:t>Policy</w:t>
      </w:r>
    </w:p>
    <w:p w14:paraId="73CBF67E" w14:textId="77777777" w:rsidR="00BE754D" w:rsidRPr="00326612" w:rsidRDefault="00FF5239" w:rsidP="00F3656F">
      <w:pPr>
        <w:rPr>
          <w:b/>
        </w:rPr>
      </w:pPr>
      <w:r w:rsidRPr="00326612">
        <w:rPr>
          <w:b/>
        </w:rPr>
        <w:t>Definition</w:t>
      </w:r>
    </w:p>
    <w:p w14:paraId="72BC3841" w14:textId="77777777" w:rsidR="00FF5239" w:rsidRPr="00326612" w:rsidRDefault="00FF5239" w:rsidP="00F3656F">
      <w:pPr>
        <w:rPr>
          <w:rFonts w:eastAsia="Arial" w:cs="Arial"/>
          <w:szCs w:val="22"/>
        </w:rPr>
      </w:pPr>
      <w:r w:rsidRPr="00326612">
        <w:rPr>
          <w:rFonts w:eastAsia="Arial" w:cs="Arial"/>
          <w:szCs w:val="22"/>
        </w:rPr>
        <w:t xml:space="preserve">A “prescribed offence” is defined in the MHA as an offence against any of the following provisions of the Criminal Code – </w:t>
      </w:r>
    </w:p>
    <w:p w14:paraId="39C718D0"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302 (Definition of murder) and section 305 (Punishment of murder);</w:t>
      </w:r>
    </w:p>
    <w:p w14:paraId="260FBF80"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303 (Definition of manslaughter) and 310 (Punishment of manslaughter);</w:t>
      </w:r>
    </w:p>
    <w:p w14:paraId="45326678"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306 (Attempt to murder);</w:t>
      </w:r>
    </w:p>
    <w:p w14:paraId="3991E2AF"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317 (Acts intended to cause grievous bodily harm and other malicious acts);</w:t>
      </w:r>
    </w:p>
    <w:p w14:paraId="2CB22C4A"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lastRenderedPageBreak/>
        <w:t>section 320 (Grievous bodily harm);</w:t>
      </w:r>
    </w:p>
    <w:p w14:paraId="4A59EF1F"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349 (Rape);</w:t>
      </w:r>
    </w:p>
    <w:p w14:paraId="773742BD"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350 (Attempt to commit rape);</w:t>
      </w:r>
    </w:p>
    <w:p w14:paraId="1E083BA2" w14:textId="77777777" w:rsidR="00FF5239" w:rsidRPr="00326612" w:rsidRDefault="00FF5239" w:rsidP="00F3656F">
      <w:pPr>
        <w:pStyle w:val="ListParagraph"/>
        <w:numPr>
          <w:ilvl w:val="0"/>
          <w:numId w:val="40"/>
        </w:numPr>
        <w:rPr>
          <w:rFonts w:ascii="Arial" w:hAnsi="Arial" w:cs="Arial"/>
          <w:sz w:val="22"/>
          <w:szCs w:val="22"/>
        </w:rPr>
      </w:pPr>
      <w:r w:rsidRPr="00326612">
        <w:rPr>
          <w:rFonts w:ascii="Arial" w:hAnsi="Arial" w:cs="Arial"/>
          <w:sz w:val="22"/>
          <w:szCs w:val="22"/>
        </w:rPr>
        <w:t>section 351 (Assault with intent to commit rape).</w:t>
      </w:r>
    </w:p>
    <w:p w14:paraId="3CE469C7" w14:textId="77777777" w:rsidR="00FF5239" w:rsidRPr="00326612" w:rsidRDefault="00FF5239" w:rsidP="00D91D45">
      <w:pPr>
        <w:tabs>
          <w:tab w:val="left" w:pos="709"/>
        </w:tabs>
        <w:spacing w:before="60" w:after="60"/>
        <w:ind w:left="360" w:right="45"/>
        <w:jc w:val="both"/>
        <w:rPr>
          <w:rFonts w:eastAsia="Arial" w:cs="Arial"/>
          <w:szCs w:val="22"/>
        </w:rPr>
      </w:pPr>
    </w:p>
    <w:p w14:paraId="21BACC6A" w14:textId="77777777" w:rsidR="00FF5239" w:rsidRPr="00326612" w:rsidRDefault="00FF5239" w:rsidP="00D91D45">
      <w:pPr>
        <w:pStyle w:val="Heading3"/>
        <w:numPr>
          <w:ilvl w:val="1"/>
          <w:numId w:val="31"/>
        </w:numPr>
      </w:pPr>
      <w:r w:rsidRPr="00326612">
        <w:t xml:space="preserve">Legislative purpose of “prescribed offence” </w:t>
      </w:r>
    </w:p>
    <w:p w14:paraId="1640BF2C" w14:textId="77777777" w:rsidR="00FF5239" w:rsidRPr="00326612" w:rsidRDefault="00FF5239" w:rsidP="00D91D45">
      <w:pPr>
        <w:jc w:val="both"/>
      </w:pPr>
      <w:r w:rsidRPr="00326612">
        <w:t xml:space="preserve">Section 91(2)(c) of the Act legislatively imports the term “prescribed offence” as defined under the MHA into the </w:t>
      </w:r>
      <w:r w:rsidRPr="00326612">
        <w:rPr>
          <w:i/>
        </w:rPr>
        <w:t>Forensic Disability Act 2011</w:t>
      </w:r>
      <w:r w:rsidRPr="00326612">
        <w:t xml:space="preserve">.  </w:t>
      </w:r>
    </w:p>
    <w:p w14:paraId="4CF2CB75" w14:textId="77777777" w:rsidR="00FF5239" w:rsidRPr="00326612" w:rsidRDefault="00FF5239" w:rsidP="00D91D45">
      <w:pPr>
        <w:jc w:val="both"/>
      </w:pPr>
      <w:r w:rsidRPr="00326612">
        <w:t xml:space="preserve">Under the MHA “prescribed offences” are considered the most serious violent offences. </w:t>
      </w:r>
    </w:p>
    <w:p w14:paraId="1974247E" w14:textId="77777777" w:rsidR="00FF5239" w:rsidRPr="00326612" w:rsidRDefault="00FF5239" w:rsidP="00D91D45">
      <w:pPr>
        <w:jc w:val="both"/>
        <w:rPr>
          <w:color w:val="FF0000"/>
        </w:rPr>
      </w:pPr>
      <w:r w:rsidRPr="00326612">
        <w:t xml:space="preserve">In order to reflect the serious nature of a “prescribed offence” and the need to protect the community from “prescribed offences”, the MHA legislatively requires a higher level of oversight from the Mental Health Court and the Mental Health Review Tribunal (MHRT) when reviewing and making decisions in relation to persons who have allegedly committed a “prescribed offence”. For example, under s454 of the MHA, the MHRT must not revoke the forensic order for a person charged with a prescribed offence unless the person has first been assessed by an independent examining practitioner and a written report has been provided to the MHRT. </w:t>
      </w:r>
      <w:r w:rsidRPr="00326612">
        <w:rPr>
          <w:color w:val="FF0000"/>
        </w:rPr>
        <w:t xml:space="preserve"> </w:t>
      </w:r>
    </w:p>
    <w:p w14:paraId="17A8B936" w14:textId="77777777" w:rsidR="00FF5239" w:rsidRPr="00326612" w:rsidRDefault="00FF5239" w:rsidP="00D91D45">
      <w:pPr>
        <w:pStyle w:val="Heading3"/>
        <w:numPr>
          <w:ilvl w:val="1"/>
          <w:numId w:val="31"/>
        </w:numPr>
      </w:pPr>
      <w:r w:rsidRPr="00326612">
        <w:t>Monitoring</w:t>
      </w:r>
      <w:r w:rsidRPr="00326612">
        <w:rPr>
          <w:spacing w:val="-13"/>
        </w:rPr>
        <w:t xml:space="preserve"> </w:t>
      </w:r>
      <w:r w:rsidRPr="00326612">
        <w:rPr>
          <w:spacing w:val="1"/>
        </w:rPr>
        <w:t>a</w:t>
      </w:r>
      <w:r w:rsidRPr="00326612">
        <w:t>nd</w:t>
      </w:r>
      <w:r w:rsidRPr="00326612">
        <w:rPr>
          <w:spacing w:val="-12"/>
        </w:rPr>
        <w:t xml:space="preserve"> </w:t>
      </w:r>
      <w:r w:rsidRPr="00326612">
        <w:t>Ri</w:t>
      </w:r>
      <w:r w:rsidRPr="00326612">
        <w:rPr>
          <w:spacing w:val="1"/>
        </w:rPr>
        <w:t>s</w:t>
      </w:r>
      <w:r w:rsidRPr="00326612">
        <w:t>k</w:t>
      </w:r>
      <w:r w:rsidRPr="00326612">
        <w:rPr>
          <w:spacing w:val="-13"/>
        </w:rPr>
        <w:t xml:space="preserve"> </w:t>
      </w:r>
      <w:r w:rsidRPr="00326612">
        <w:t>M</w:t>
      </w:r>
      <w:r w:rsidRPr="00326612">
        <w:rPr>
          <w:spacing w:val="1"/>
        </w:rPr>
        <w:t>a</w:t>
      </w:r>
      <w:r w:rsidRPr="00326612">
        <w:t>n</w:t>
      </w:r>
      <w:r w:rsidRPr="00326612">
        <w:rPr>
          <w:spacing w:val="1"/>
        </w:rPr>
        <w:t>a</w:t>
      </w:r>
      <w:r w:rsidRPr="00326612">
        <w:t>g</w:t>
      </w:r>
      <w:r w:rsidRPr="00326612">
        <w:rPr>
          <w:spacing w:val="1"/>
        </w:rPr>
        <w:t>e</w:t>
      </w:r>
      <w:r w:rsidRPr="00326612">
        <w:t>m</w:t>
      </w:r>
      <w:r w:rsidRPr="00326612">
        <w:rPr>
          <w:spacing w:val="1"/>
        </w:rPr>
        <w:t>e</w:t>
      </w:r>
      <w:r w:rsidRPr="00326612">
        <w:t>nt</w:t>
      </w:r>
    </w:p>
    <w:p w14:paraId="3ED61260" w14:textId="09DBEF1D" w:rsidR="00FF5239" w:rsidRPr="00326612" w:rsidRDefault="00FF5239" w:rsidP="00D91D45">
      <w:pPr>
        <w:jc w:val="both"/>
      </w:pPr>
      <w:r w:rsidRPr="00326612">
        <w:t>In keeping with the legislative intent regarding “prescribed offences”</w:t>
      </w:r>
      <w:r w:rsidR="00CF1D9E" w:rsidRPr="00326612">
        <w:t>,</w:t>
      </w:r>
      <w:r w:rsidRPr="00326612">
        <w:t xml:space="preserve"> FDS staff </w:t>
      </w:r>
      <w:r w:rsidR="00CF1D9E" w:rsidRPr="00326612">
        <w:t xml:space="preserve">supporting </w:t>
      </w:r>
      <w:r w:rsidRPr="00326612">
        <w:t xml:space="preserve">clients charged with having committed a prescribed offence </w:t>
      </w:r>
      <w:r w:rsidRPr="00326612">
        <w:rPr>
          <w:b/>
        </w:rPr>
        <w:t xml:space="preserve">must take into consideration the serious nature of the prescribed offence, the need for a high level of oversight </w:t>
      </w:r>
      <w:r w:rsidRPr="00326612">
        <w:t>and</w:t>
      </w:r>
      <w:r w:rsidRPr="00326612">
        <w:rPr>
          <w:b/>
        </w:rPr>
        <w:t xml:space="preserve"> the need to protect the community.</w:t>
      </w:r>
      <w:r w:rsidRPr="00326612">
        <w:t xml:space="preserve">  </w:t>
      </w:r>
    </w:p>
    <w:p w14:paraId="358BCAD6" w14:textId="1E2FB867" w:rsidR="00FF5239" w:rsidRPr="00326612" w:rsidRDefault="00FF5239" w:rsidP="00D91D45">
      <w:pPr>
        <w:jc w:val="both"/>
      </w:pPr>
      <w:r w:rsidRPr="00326612">
        <w:t>However, it is not the intention of this policy to restrict decisions regarding a client’s opportunities, or their access to the community, but rather to ensure that all decisions made by the Senior Practitioner and supporting FDS staff involve risk management processes that are cognisant of the serious nature of the “prescribed offence” allegedly committed by the client</w:t>
      </w:r>
      <w:r w:rsidR="00CF1D9E" w:rsidRPr="00326612">
        <w:t>,</w:t>
      </w:r>
      <w:r w:rsidRPr="00326612">
        <w:t xml:space="preserve"> and the need to protect not only the interests of the client</w:t>
      </w:r>
      <w:r w:rsidR="00CF1D9E" w:rsidRPr="00326612">
        <w:t>,</w:t>
      </w:r>
      <w:r w:rsidRPr="00326612">
        <w:t xml:space="preserve"> but also the victim and the community as a whole. </w:t>
      </w:r>
    </w:p>
    <w:p w14:paraId="4EF1450A" w14:textId="6675E445" w:rsidR="00FF5239" w:rsidRPr="00326612" w:rsidRDefault="00FF5239" w:rsidP="00D91D45">
      <w:pPr>
        <w:jc w:val="both"/>
      </w:pPr>
      <w:r w:rsidRPr="00326612">
        <w:t xml:space="preserve">Moreover, clients for whom the offence leading to the Forensic Order is a “prescribed offence” </w:t>
      </w:r>
      <w:r w:rsidRPr="00326612">
        <w:rPr>
          <w:spacing w:val="1"/>
        </w:rPr>
        <w:t>mu</w:t>
      </w:r>
      <w:r w:rsidRPr="00326612">
        <w:t>st</w:t>
      </w:r>
      <w:r w:rsidRPr="00326612">
        <w:rPr>
          <w:spacing w:val="-7"/>
        </w:rPr>
        <w:t xml:space="preserve"> </w:t>
      </w:r>
      <w:r w:rsidRPr="00326612">
        <w:rPr>
          <w:spacing w:val="1"/>
        </w:rPr>
        <w:t>b</w:t>
      </w:r>
      <w:r w:rsidRPr="00326612">
        <w:t>e</w:t>
      </w:r>
      <w:r w:rsidRPr="00326612">
        <w:rPr>
          <w:spacing w:val="-7"/>
        </w:rPr>
        <w:t xml:space="preserve"> </w:t>
      </w:r>
      <w:r w:rsidRPr="00326612">
        <w:rPr>
          <w:spacing w:val="1"/>
        </w:rPr>
        <w:t>un</w:t>
      </w:r>
      <w:r w:rsidRPr="00326612">
        <w:rPr>
          <w:spacing w:val="-2"/>
        </w:rPr>
        <w:t>d</w:t>
      </w:r>
      <w:r w:rsidRPr="00326612">
        <w:rPr>
          <w:spacing w:val="1"/>
        </w:rPr>
        <w:t>e</w:t>
      </w:r>
      <w:r w:rsidRPr="00326612">
        <w:t>r</w:t>
      </w:r>
      <w:r w:rsidRPr="00326612">
        <w:rPr>
          <w:spacing w:val="-7"/>
        </w:rPr>
        <w:t xml:space="preserve"> </w:t>
      </w:r>
      <w:r w:rsidRPr="00326612">
        <w:t>t</w:t>
      </w:r>
      <w:r w:rsidRPr="00326612">
        <w:rPr>
          <w:spacing w:val="1"/>
        </w:rPr>
        <w:t>h</w:t>
      </w:r>
      <w:r w:rsidRPr="00326612">
        <w:t>e</w:t>
      </w:r>
      <w:r w:rsidRPr="00326612">
        <w:rPr>
          <w:spacing w:val="-7"/>
        </w:rPr>
        <w:t xml:space="preserve"> </w:t>
      </w:r>
      <w:r w:rsidRPr="00326612">
        <w:rPr>
          <w:spacing w:val="1"/>
        </w:rPr>
        <w:t>d</w:t>
      </w:r>
      <w:r w:rsidRPr="00326612">
        <w:rPr>
          <w:spacing w:val="-1"/>
        </w:rPr>
        <w:t>ir</w:t>
      </w:r>
      <w:r w:rsidRPr="00326612">
        <w:rPr>
          <w:spacing w:val="1"/>
        </w:rPr>
        <w:t>e</w:t>
      </w:r>
      <w:r w:rsidRPr="00326612">
        <w:t>ct</w:t>
      </w:r>
      <w:r w:rsidRPr="00326612">
        <w:rPr>
          <w:spacing w:val="-5"/>
        </w:rPr>
        <w:t xml:space="preserve"> </w:t>
      </w:r>
      <w:r w:rsidRPr="00326612">
        <w:rPr>
          <w:spacing w:val="-3"/>
        </w:rPr>
        <w:t>c</w:t>
      </w:r>
      <w:r w:rsidRPr="00326612">
        <w:rPr>
          <w:spacing w:val="1"/>
        </w:rPr>
        <w:t>a</w:t>
      </w:r>
      <w:r w:rsidRPr="00326612">
        <w:rPr>
          <w:spacing w:val="-1"/>
        </w:rPr>
        <w:t>r</w:t>
      </w:r>
      <w:r w:rsidRPr="00326612">
        <w:t>e</w:t>
      </w:r>
      <w:r w:rsidRPr="00326612">
        <w:rPr>
          <w:spacing w:val="-5"/>
        </w:rPr>
        <w:t xml:space="preserve"> </w:t>
      </w:r>
      <w:r w:rsidRPr="00326612">
        <w:rPr>
          <w:spacing w:val="-2"/>
        </w:rPr>
        <w:t>a</w:t>
      </w:r>
      <w:r w:rsidRPr="00326612">
        <w:rPr>
          <w:spacing w:val="1"/>
        </w:rPr>
        <w:t>n</w:t>
      </w:r>
      <w:r w:rsidRPr="00326612">
        <w:t>d</w:t>
      </w:r>
      <w:r w:rsidRPr="00326612">
        <w:rPr>
          <w:spacing w:val="-6"/>
        </w:rPr>
        <w:t xml:space="preserve"> </w:t>
      </w:r>
      <w:r w:rsidRPr="00326612">
        <w:rPr>
          <w:spacing w:val="-2"/>
        </w:rPr>
        <w:t>management</w:t>
      </w:r>
      <w:r w:rsidRPr="00326612">
        <w:rPr>
          <w:spacing w:val="-7"/>
        </w:rPr>
        <w:t xml:space="preserve"> </w:t>
      </w:r>
      <w:r w:rsidRPr="00326612">
        <w:rPr>
          <w:spacing w:val="-2"/>
        </w:rPr>
        <w:t>o</w:t>
      </w:r>
      <w:r w:rsidRPr="00326612">
        <w:t>f</w:t>
      </w:r>
      <w:r w:rsidRPr="00326612">
        <w:rPr>
          <w:spacing w:val="-6"/>
        </w:rPr>
        <w:t xml:space="preserve"> </w:t>
      </w:r>
      <w:r w:rsidR="00C94388" w:rsidRPr="00326612">
        <w:t>the</w:t>
      </w:r>
      <w:r w:rsidR="00C94388" w:rsidRPr="00326612">
        <w:rPr>
          <w:spacing w:val="-5"/>
        </w:rPr>
        <w:t xml:space="preserve"> </w:t>
      </w:r>
      <w:r w:rsidRPr="00326612">
        <w:t>S</w:t>
      </w:r>
      <w:r w:rsidRPr="00326612">
        <w:rPr>
          <w:spacing w:val="-2"/>
        </w:rPr>
        <w:t>e</w:t>
      </w:r>
      <w:r w:rsidRPr="00326612">
        <w:rPr>
          <w:spacing w:val="1"/>
        </w:rPr>
        <w:t>n</w:t>
      </w:r>
      <w:r w:rsidRPr="00326612">
        <w:rPr>
          <w:spacing w:val="-1"/>
        </w:rPr>
        <w:t>i</w:t>
      </w:r>
      <w:r w:rsidRPr="00326612">
        <w:rPr>
          <w:spacing w:val="1"/>
        </w:rPr>
        <w:t>o</w:t>
      </w:r>
      <w:r w:rsidRPr="00326612">
        <w:t xml:space="preserve">r </w:t>
      </w:r>
      <w:r w:rsidRPr="00326612">
        <w:rPr>
          <w:spacing w:val="-7"/>
        </w:rPr>
        <w:t>P</w:t>
      </w:r>
      <w:r w:rsidRPr="00326612">
        <w:rPr>
          <w:spacing w:val="-5"/>
        </w:rPr>
        <w:t>r</w:t>
      </w:r>
      <w:r w:rsidRPr="00326612">
        <w:rPr>
          <w:spacing w:val="1"/>
        </w:rPr>
        <w:t>a</w:t>
      </w:r>
      <w:r w:rsidRPr="00326612">
        <w:t>ct</w:t>
      </w:r>
      <w:r w:rsidRPr="00326612">
        <w:rPr>
          <w:spacing w:val="-1"/>
        </w:rPr>
        <w:t>i</w:t>
      </w:r>
      <w:r w:rsidRPr="00326612">
        <w:t>t</w:t>
      </w:r>
      <w:r w:rsidRPr="00326612">
        <w:rPr>
          <w:spacing w:val="-1"/>
        </w:rPr>
        <w:t>i</w:t>
      </w:r>
      <w:r w:rsidRPr="00326612">
        <w:rPr>
          <w:spacing w:val="1"/>
        </w:rPr>
        <w:t>o</w:t>
      </w:r>
      <w:r w:rsidRPr="00326612">
        <w:rPr>
          <w:spacing w:val="-2"/>
        </w:rPr>
        <w:t>n</w:t>
      </w:r>
      <w:r w:rsidRPr="00326612">
        <w:rPr>
          <w:spacing w:val="1"/>
        </w:rPr>
        <w:t>e</w:t>
      </w:r>
      <w:r w:rsidRPr="00326612">
        <w:t>r</w:t>
      </w:r>
      <w:r w:rsidRPr="00326612">
        <w:rPr>
          <w:w w:val="99"/>
        </w:rPr>
        <w:t xml:space="preserve"> </w:t>
      </w:r>
      <w:r w:rsidRPr="00326612">
        <w:rPr>
          <w:spacing w:val="1"/>
        </w:rPr>
        <w:t>an</w:t>
      </w:r>
      <w:r w:rsidRPr="00326612">
        <w:t>d</w:t>
      </w:r>
      <w:r w:rsidRPr="00326612">
        <w:rPr>
          <w:spacing w:val="-7"/>
        </w:rPr>
        <w:t xml:space="preserve"> </w:t>
      </w:r>
      <w:r w:rsidRPr="00326612">
        <w:rPr>
          <w:spacing w:val="1"/>
        </w:rPr>
        <w:t>ha</w:t>
      </w:r>
      <w:r w:rsidRPr="00326612">
        <w:rPr>
          <w:spacing w:val="-3"/>
        </w:rPr>
        <w:t>v</w:t>
      </w:r>
      <w:r w:rsidRPr="00326612">
        <w:t>e</w:t>
      </w:r>
      <w:r w:rsidRPr="00326612">
        <w:rPr>
          <w:spacing w:val="-6"/>
        </w:rPr>
        <w:t xml:space="preserve"> </w:t>
      </w:r>
      <w:r w:rsidRPr="00326612">
        <w:t>a</w:t>
      </w:r>
      <w:r w:rsidRPr="00326612">
        <w:rPr>
          <w:spacing w:val="-5"/>
        </w:rPr>
        <w:t xml:space="preserve"> </w:t>
      </w:r>
      <w:r w:rsidRPr="00326612">
        <w:rPr>
          <w:spacing w:val="-3"/>
        </w:rPr>
        <w:t>c</w:t>
      </w:r>
      <w:r w:rsidRPr="00326612">
        <w:rPr>
          <w:spacing w:val="1"/>
        </w:rPr>
        <w:t>u</w:t>
      </w:r>
      <w:r w:rsidRPr="00326612">
        <w:rPr>
          <w:spacing w:val="-1"/>
        </w:rPr>
        <w:t>rr</w:t>
      </w:r>
      <w:r w:rsidRPr="00326612">
        <w:rPr>
          <w:spacing w:val="1"/>
        </w:rPr>
        <w:t>en</w:t>
      </w:r>
      <w:r w:rsidRPr="00326612">
        <w:t>t</w:t>
      </w:r>
      <w:r w:rsidRPr="00326612">
        <w:rPr>
          <w:spacing w:val="-5"/>
        </w:rPr>
        <w:t xml:space="preserve"> </w:t>
      </w:r>
      <w:r w:rsidRPr="00326612">
        <w:rPr>
          <w:spacing w:val="-1"/>
        </w:rPr>
        <w:t>ri</w:t>
      </w:r>
      <w:r w:rsidRPr="00326612">
        <w:t>sk</w:t>
      </w:r>
      <w:r w:rsidRPr="00326612">
        <w:rPr>
          <w:spacing w:val="-8"/>
        </w:rPr>
        <w:t xml:space="preserve"> </w:t>
      </w:r>
      <w:r w:rsidRPr="00326612">
        <w:rPr>
          <w:spacing w:val="1"/>
        </w:rPr>
        <w:t>m</w:t>
      </w:r>
      <w:r w:rsidRPr="00326612">
        <w:rPr>
          <w:spacing w:val="-2"/>
        </w:rPr>
        <w:t>a</w:t>
      </w:r>
      <w:r w:rsidRPr="00326612">
        <w:rPr>
          <w:spacing w:val="1"/>
        </w:rPr>
        <w:t>na</w:t>
      </w:r>
      <w:r w:rsidRPr="00326612">
        <w:rPr>
          <w:spacing w:val="-2"/>
        </w:rPr>
        <w:t>ge</w:t>
      </w:r>
      <w:r w:rsidRPr="00326612">
        <w:rPr>
          <w:spacing w:val="1"/>
        </w:rPr>
        <w:t>men</w:t>
      </w:r>
      <w:r w:rsidRPr="00326612">
        <w:t>t</w:t>
      </w:r>
      <w:r w:rsidRPr="00326612">
        <w:rPr>
          <w:spacing w:val="-8"/>
        </w:rPr>
        <w:t xml:space="preserve"> </w:t>
      </w:r>
      <w:r w:rsidRPr="00326612">
        <w:rPr>
          <w:spacing w:val="1"/>
        </w:rPr>
        <w:t>p</w:t>
      </w:r>
      <w:r w:rsidRPr="00326612">
        <w:rPr>
          <w:spacing w:val="-1"/>
        </w:rPr>
        <w:t>l</w:t>
      </w:r>
      <w:r w:rsidRPr="00326612">
        <w:rPr>
          <w:spacing w:val="-2"/>
        </w:rPr>
        <w:t>a</w:t>
      </w:r>
      <w:r w:rsidRPr="00326612">
        <w:t>n</w:t>
      </w:r>
      <w:r w:rsidRPr="00326612">
        <w:rPr>
          <w:spacing w:val="-5"/>
        </w:rPr>
        <w:t xml:space="preserve"> </w:t>
      </w:r>
      <w:r w:rsidRPr="00326612">
        <w:rPr>
          <w:spacing w:val="-1"/>
        </w:rPr>
        <w:t>i</w:t>
      </w:r>
      <w:r w:rsidRPr="00326612">
        <w:t>n</w:t>
      </w:r>
      <w:r w:rsidRPr="00326612">
        <w:rPr>
          <w:spacing w:val="-7"/>
        </w:rPr>
        <w:t xml:space="preserve"> </w:t>
      </w:r>
      <w:r w:rsidRPr="00326612">
        <w:rPr>
          <w:spacing w:val="-2"/>
        </w:rPr>
        <w:t>p</w:t>
      </w:r>
      <w:r w:rsidRPr="00326612">
        <w:rPr>
          <w:spacing w:val="-1"/>
        </w:rPr>
        <w:t>l</w:t>
      </w:r>
      <w:r w:rsidRPr="00326612">
        <w:rPr>
          <w:spacing w:val="1"/>
        </w:rPr>
        <w:t>a</w:t>
      </w:r>
      <w:r w:rsidRPr="00326612">
        <w:t>c</w:t>
      </w:r>
      <w:r w:rsidRPr="00326612">
        <w:rPr>
          <w:spacing w:val="1"/>
        </w:rPr>
        <w:t>e</w:t>
      </w:r>
      <w:r w:rsidRPr="00326612">
        <w:t>. The current risk management plan should form part of the Individual Development Plan (IDP) and therefore be readily accessible by all FDS staff (</w:t>
      </w:r>
      <w:r w:rsidR="004F226A" w:rsidRPr="00326612">
        <w:t>refer to</w:t>
      </w:r>
      <w:r w:rsidRPr="00326612">
        <w:t xml:space="preserve"> </w:t>
      </w:r>
      <w:r w:rsidRPr="00326612">
        <w:rPr>
          <w:i/>
        </w:rPr>
        <w:t>Director of Forensic Disability Policy – Individual Development Plan</w:t>
      </w:r>
      <w:r w:rsidR="004F226A" w:rsidRPr="00326612">
        <w:rPr>
          <w:i/>
        </w:rPr>
        <w:t>s</w:t>
      </w:r>
      <w:r w:rsidRPr="00326612">
        <w:t>).</w:t>
      </w:r>
    </w:p>
    <w:p w14:paraId="18F26D8C" w14:textId="77777777" w:rsidR="00FF5239" w:rsidRPr="00326612" w:rsidRDefault="00FF5239" w:rsidP="00D91D45">
      <w:pPr>
        <w:pStyle w:val="Heading3"/>
        <w:numPr>
          <w:ilvl w:val="1"/>
          <w:numId w:val="31"/>
        </w:numPr>
      </w:pPr>
      <w:r w:rsidRPr="00326612">
        <w:t>Notification of significant events</w:t>
      </w:r>
    </w:p>
    <w:p w14:paraId="27615054" w14:textId="77777777" w:rsidR="00FF5239" w:rsidRPr="00326612" w:rsidRDefault="00FF5239" w:rsidP="00D91D45">
      <w:pPr>
        <w:jc w:val="both"/>
      </w:pPr>
      <w:r w:rsidRPr="00326612">
        <w:t>In relation to clients for whom the offence leading to the Forensic Order is a “prescribed offence”,</w:t>
      </w:r>
      <w:r w:rsidRPr="00326612" w:rsidDel="00211D46">
        <w:t xml:space="preserve"> </w:t>
      </w:r>
      <w:r w:rsidRPr="00326612">
        <w:t>the</w:t>
      </w:r>
      <w:r w:rsidRPr="00326612">
        <w:rPr>
          <w:spacing w:val="-6"/>
        </w:rPr>
        <w:t xml:space="preserve"> </w:t>
      </w:r>
      <w:r w:rsidRPr="00326612">
        <w:rPr>
          <w:spacing w:val="-2"/>
        </w:rPr>
        <w:t>Administrator</w:t>
      </w:r>
      <w:r w:rsidRPr="00326612">
        <w:rPr>
          <w:spacing w:val="-10"/>
        </w:rPr>
        <w:t xml:space="preserve"> </w:t>
      </w:r>
      <w:r w:rsidRPr="00326612">
        <w:rPr>
          <w:spacing w:val="-2"/>
        </w:rPr>
        <w:t xml:space="preserve">must ensure the </w:t>
      </w:r>
      <w:r w:rsidRPr="00326612">
        <w:rPr>
          <w:spacing w:val="-1"/>
        </w:rPr>
        <w:t>Dir</w:t>
      </w:r>
      <w:r w:rsidRPr="00326612">
        <w:rPr>
          <w:spacing w:val="1"/>
        </w:rPr>
        <w:t>e</w:t>
      </w:r>
      <w:r w:rsidRPr="00326612">
        <w:t>ct</w:t>
      </w:r>
      <w:r w:rsidRPr="00326612">
        <w:rPr>
          <w:spacing w:val="1"/>
        </w:rPr>
        <w:t>o</w:t>
      </w:r>
      <w:r w:rsidRPr="00326612">
        <w:t>r</w:t>
      </w:r>
      <w:r w:rsidRPr="00326612">
        <w:rPr>
          <w:spacing w:val="-11"/>
        </w:rPr>
        <w:t xml:space="preserve"> of </w:t>
      </w:r>
      <w:r w:rsidRPr="00326612">
        <w:rPr>
          <w:spacing w:val="-1"/>
        </w:rPr>
        <w:t>F</w:t>
      </w:r>
      <w:r w:rsidRPr="00326612">
        <w:rPr>
          <w:spacing w:val="1"/>
        </w:rPr>
        <w:t>o</w:t>
      </w:r>
      <w:r w:rsidRPr="00326612">
        <w:rPr>
          <w:spacing w:val="-1"/>
        </w:rPr>
        <w:t>r</w:t>
      </w:r>
      <w:r w:rsidRPr="00326612">
        <w:rPr>
          <w:spacing w:val="1"/>
        </w:rPr>
        <w:t>en</w:t>
      </w:r>
      <w:r w:rsidRPr="00326612">
        <w:t>s</w:t>
      </w:r>
      <w:r w:rsidRPr="00326612">
        <w:rPr>
          <w:spacing w:val="-1"/>
        </w:rPr>
        <w:t>i</w:t>
      </w:r>
      <w:r w:rsidRPr="00326612">
        <w:t>c</w:t>
      </w:r>
      <w:r w:rsidRPr="00326612">
        <w:rPr>
          <w:spacing w:val="-9"/>
        </w:rPr>
        <w:t xml:space="preserve"> </w:t>
      </w:r>
      <w:r w:rsidRPr="00326612">
        <w:rPr>
          <w:spacing w:val="-1"/>
        </w:rPr>
        <w:t>Di</w:t>
      </w:r>
      <w:r w:rsidRPr="00326612">
        <w:t>s</w:t>
      </w:r>
      <w:r w:rsidRPr="00326612">
        <w:rPr>
          <w:spacing w:val="-2"/>
        </w:rPr>
        <w:t>a</w:t>
      </w:r>
      <w:r w:rsidRPr="00326612">
        <w:rPr>
          <w:spacing w:val="1"/>
        </w:rPr>
        <w:t>b</w:t>
      </w:r>
      <w:r w:rsidRPr="00326612">
        <w:rPr>
          <w:spacing w:val="-1"/>
        </w:rPr>
        <w:t>ili</w:t>
      </w:r>
      <w:r w:rsidRPr="00326612">
        <w:t>ty is notified</w:t>
      </w:r>
      <w:r w:rsidRPr="00326612">
        <w:rPr>
          <w:spacing w:val="-11"/>
        </w:rPr>
        <w:t xml:space="preserve"> </w:t>
      </w:r>
      <w:r w:rsidRPr="00326612">
        <w:rPr>
          <w:spacing w:val="-2"/>
        </w:rPr>
        <w:t>if any of the following occurs</w:t>
      </w:r>
      <w:r w:rsidRPr="00326612">
        <w:t>:</w:t>
      </w:r>
    </w:p>
    <w:p w14:paraId="5B537065" w14:textId="77777777"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t>the client reoffends;</w:t>
      </w:r>
    </w:p>
    <w:p w14:paraId="2B0BB047" w14:textId="77777777"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t>the client is non-compliant with the IDP, including specific therapy or programs being delivered;</w:t>
      </w:r>
    </w:p>
    <w:p w14:paraId="7A76689C" w14:textId="74B8765B"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t xml:space="preserve">the client requires admission to an </w:t>
      </w:r>
      <w:r w:rsidR="00496764" w:rsidRPr="00326612">
        <w:rPr>
          <w:rFonts w:ascii="Arial" w:eastAsia="Arial" w:hAnsi="Arial" w:cs="Arial"/>
          <w:sz w:val="22"/>
          <w:szCs w:val="22"/>
        </w:rPr>
        <w:t>authorised mental health service (AMHS)</w:t>
      </w:r>
      <w:r w:rsidRPr="00326612">
        <w:rPr>
          <w:rFonts w:ascii="Arial" w:eastAsia="Arial" w:hAnsi="Arial" w:cs="Arial"/>
          <w:sz w:val="22"/>
          <w:szCs w:val="22"/>
        </w:rPr>
        <w:t>;</w:t>
      </w:r>
    </w:p>
    <w:p w14:paraId="2B981A31" w14:textId="77777777"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lastRenderedPageBreak/>
        <w:t>the client is engaging in substance use;</w:t>
      </w:r>
    </w:p>
    <w:p w14:paraId="05318479" w14:textId="77777777"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t xml:space="preserve">the client is absent without permission; </w:t>
      </w:r>
    </w:p>
    <w:p w14:paraId="57B3D20C" w14:textId="77777777"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t>any violent incidents occur; or</w:t>
      </w:r>
    </w:p>
    <w:p w14:paraId="288E0A20" w14:textId="0FBCB209" w:rsidR="00FF5239" w:rsidRPr="00326612" w:rsidRDefault="00FF5239" w:rsidP="00F3656F">
      <w:pPr>
        <w:pStyle w:val="ListParagraph"/>
        <w:numPr>
          <w:ilvl w:val="0"/>
          <w:numId w:val="40"/>
        </w:numPr>
        <w:jc w:val="both"/>
        <w:rPr>
          <w:rFonts w:ascii="Arial" w:eastAsia="Arial" w:hAnsi="Arial" w:cs="Arial"/>
          <w:sz w:val="22"/>
          <w:szCs w:val="22"/>
        </w:rPr>
      </w:pPr>
      <w:r w:rsidRPr="00326612">
        <w:rPr>
          <w:rFonts w:ascii="Arial" w:eastAsia="Arial" w:hAnsi="Arial" w:cs="Arial"/>
          <w:sz w:val="22"/>
          <w:szCs w:val="22"/>
        </w:rPr>
        <w:t xml:space="preserve">use of </w:t>
      </w:r>
      <w:r w:rsidR="00287306" w:rsidRPr="00326612">
        <w:rPr>
          <w:rFonts w:ascii="Arial" w:eastAsia="Arial" w:hAnsi="Arial" w:cs="Arial"/>
          <w:sz w:val="22"/>
          <w:szCs w:val="22"/>
        </w:rPr>
        <w:t xml:space="preserve">any regulated behaviour control under </w:t>
      </w:r>
      <w:r w:rsidR="00C94388" w:rsidRPr="00326612">
        <w:rPr>
          <w:rFonts w:ascii="Arial" w:eastAsia="Arial" w:hAnsi="Arial" w:cs="Arial"/>
          <w:sz w:val="22"/>
          <w:szCs w:val="22"/>
        </w:rPr>
        <w:t>Chapter 6 of the Act</w:t>
      </w:r>
      <w:r w:rsidRPr="00326612">
        <w:rPr>
          <w:rFonts w:ascii="Arial" w:eastAsia="Arial" w:hAnsi="Arial" w:cs="Arial"/>
          <w:sz w:val="22"/>
          <w:szCs w:val="22"/>
        </w:rPr>
        <w:t>.</w:t>
      </w:r>
    </w:p>
    <w:p w14:paraId="6C273973" w14:textId="77777777" w:rsidR="00AC3DF1" w:rsidRPr="00326612" w:rsidRDefault="00AC3DF1" w:rsidP="00D91D45">
      <w:pPr>
        <w:pStyle w:val="ListParagraph"/>
        <w:ind w:left="357"/>
        <w:jc w:val="both"/>
        <w:rPr>
          <w:rFonts w:ascii="Arial" w:eastAsia="Arial" w:hAnsi="Arial" w:cs="Arial"/>
          <w:sz w:val="22"/>
          <w:szCs w:val="22"/>
        </w:rPr>
      </w:pPr>
    </w:p>
    <w:p w14:paraId="37D3EA16" w14:textId="77777777" w:rsidR="00945896" w:rsidRPr="00326612" w:rsidRDefault="00945896" w:rsidP="00D91D45">
      <w:pPr>
        <w:pStyle w:val="Heading3"/>
        <w:numPr>
          <w:ilvl w:val="1"/>
          <w:numId w:val="31"/>
        </w:numPr>
      </w:pPr>
      <w:r w:rsidRPr="00326612">
        <w:t>Director of Forensic Disability review</w:t>
      </w:r>
    </w:p>
    <w:p w14:paraId="57C82AD4" w14:textId="20705303" w:rsidR="00945896" w:rsidRPr="00326612" w:rsidRDefault="00945896" w:rsidP="00D91D45">
      <w:pPr>
        <w:jc w:val="both"/>
      </w:pPr>
      <w:r w:rsidRPr="00326612">
        <w:t xml:space="preserve">In circumstances where the Director of Forensic Disability receives information about a significant event, or other information indicating a client’s risk may be increasing, the </w:t>
      </w:r>
      <w:r w:rsidR="00326612">
        <w:t xml:space="preserve">Director of Forensic </w:t>
      </w:r>
      <w:r w:rsidR="00A93860">
        <w:t>Disability</w:t>
      </w:r>
      <w:r w:rsidR="00326612" w:rsidRPr="00326612">
        <w:t xml:space="preserve"> </w:t>
      </w:r>
      <w:r w:rsidRPr="00326612">
        <w:t>may ask for further information to ensure they are satisfied that the client’s risk is being adequately mitigated and/or their rehabilitative needs are being addressed.</w:t>
      </w:r>
      <w:r w:rsidR="00F64A70">
        <w:t xml:space="preserve"> </w:t>
      </w:r>
      <w:r w:rsidRPr="00326612">
        <w:t xml:space="preserve">Alternatively, the Director of Forensic Disability may formally appoint an Authorised Officer(s) to investigate a matter. </w:t>
      </w:r>
    </w:p>
    <w:p w14:paraId="351FE2E1" w14:textId="77777777" w:rsidR="00945896" w:rsidRPr="00326612" w:rsidRDefault="00945896" w:rsidP="00D91D45">
      <w:pPr>
        <w:pStyle w:val="Heading3"/>
        <w:numPr>
          <w:ilvl w:val="1"/>
          <w:numId w:val="31"/>
        </w:numPr>
      </w:pPr>
      <w:r w:rsidRPr="00326612">
        <w:t>Photographs</w:t>
      </w:r>
    </w:p>
    <w:p w14:paraId="234F9FBE" w14:textId="5F02FE1D" w:rsidR="00945896" w:rsidRPr="00326612" w:rsidRDefault="00945896" w:rsidP="00D91D45">
      <w:pPr>
        <w:jc w:val="both"/>
        <w:rPr>
          <w:rFonts w:cs="Arial"/>
          <w:szCs w:val="22"/>
        </w:rPr>
      </w:pPr>
      <w:r w:rsidRPr="00326612">
        <w:rPr>
          <w:rFonts w:cs="Arial"/>
          <w:szCs w:val="22"/>
        </w:rPr>
        <w:t xml:space="preserve">A photograph of clients for whom the offence leading to the Forensic Order is a “prescribed offence” must be kept electronically </w:t>
      </w:r>
      <w:r w:rsidR="00CF1D9E" w:rsidRPr="00326612">
        <w:rPr>
          <w:rFonts w:cs="Arial"/>
          <w:szCs w:val="22"/>
        </w:rPr>
        <w:t>on the Forensic Disability Act Information System (FDAIS)</w:t>
      </w:r>
      <w:r w:rsidRPr="00326612">
        <w:rPr>
          <w:rFonts w:cs="Arial"/>
          <w:szCs w:val="22"/>
        </w:rPr>
        <w:t>. This photograph must be updated annually and/or if significant changes to client’s appearance are noted.</w:t>
      </w:r>
    </w:p>
    <w:p w14:paraId="40AFF2DF" w14:textId="5DF24BEA" w:rsidR="00D91D45" w:rsidRPr="00326612" w:rsidRDefault="00D91D45" w:rsidP="00D91D45">
      <w:pPr>
        <w:tabs>
          <w:tab w:val="left" w:pos="2552"/>
        </w:tabs>
        <w:spacing w:before="360"/>
        <w:jc w:val="both"/>
      </w:pPr>
      <w:r w:rsidRPr="00326612">
        <w:rPr>
          <w:b/>
        </w:rPr>
        <w:t>Date of approval:</w:t>
      </w:r>
      <w:r w:rsidRPr="00326612">
        <w:tab/>
      </w:r>
      <w:r w:rsidR="00BA4EE0" w:rsidRPr="00326612">
        <w:t>09 January</w:t>
      </w:r>
      <w:r w:rsidR="00AD4B93" w:rsidRPr="00326612">
        <w:t xml:space="preserve"> </w:t>
      </w:r>
      <w:r w:rsidRPr="00326612">
        <w:t>202</w:t>
      </w:r>
      <w:r w:rsidR="00BA4EE0" w:rsidRPr="00326612">
        <w:t>3</w:t>
      </w:r>
    </w:p>
    <w:p w14:paraId="39052D5A" w14:textId="3A68B6DE" w:rsidR="00D91D45" w:rsidRPr="00326612" w:rsidRDefault="00D91D45" w:rsidP="00D91D45">
      <w:pPr>
        <w:tabs>
          <w:tab w:val="left" w:pos="2552"/>
        </w:tabs>
        <w:jc w:val="both"/>
      </w:pPr>
      <w:r w:rsidRPr="00326612">
        <w:rPr>
          <w:b/>
        </w:rPr>
        <w:t>Date of operation:</w:t>
      </w:r>
      <w:r w:rsidRPr="00326612">
        <w:tab/>
      </w:r>
      <w:r w:rsidR="00BA4EE0" w:rsidRPr="00326612">
        <w:t>01</w:t>
      </w:r>
      <w:r w:rsidRPr="00326612">
        <w:t xml:space="preserve"> </w:t>
      </w:r>
      <w:r w:rsidR="00BA4EE0" w:rsidRPr="00326612">
        <w:t>February</w:t>
      </w:r>
      <w:r w:rsidRPr="00326612">
        <w:t xml:space="preserve"> 202</w:t>
      </w:r>
      <w:r w:rsidR="00AD4B93" w:rsidRPr="00326612">
        <w:t>3</w:t>
      </w:r>
    </w:p>
    <w:p w14:paraId="16A9B575" w14:textId="4645ABF7" w:rsidR="00D91D45" w:rsidRPr="00326612" w:rsidRDefault="00D91D45" w:rsidP="00D91D45">
      <w:pPr>
        <w:pBdr>
          <w:bottom w:val="single" w:sz="6" w:space="1" w:color="auto"/>
        </w:pBdr>
        <w:tabs>
          <w:tab w:val="left" w:pos="2552"/>
        </w:tabs>
        <w:jc w:val="both"/>
      </w:pPr>
      <w:r w:rsidRPr="00326612">
        <w:rPr>
          <w:b/>
        </w:rPr>
        <w:t>Date to be reviewed:</w:t>
      </w:r>
      <w:r w:rsidRPr="00326612">
        <w:tab/>
      </w:r>
      <w:r w:rsidR="00BA4EE0" w:rsidRPr="00326612">
        <w:t>01</w:t>
      </w:r>
      <w:r w:rsidR="00B923EC" w:rsidRPr="00326612">
        <w:t xml:space="preserve"> </w:t>
      </w:r>
      <w:r w:rsidR="00BA4EE0" w:rsidRPr="00326612">
        <w:t xml:space="preserve">February </w:t>
      </w:r>
      <w:r w:rsidRPr="00326612">
        <w:t>202</w:t>
      </w:r>
      <w:r w:rsidR="006623C6" w:rsidRPr="00326612">
        <w:t>6</w:t>
      </w:r>
    </w:p>
    <w:p w14:paraId="07A3023A" w14:textId="1450FE49" w:rsidR="00D91D45" w:rsidRPr="00326612" w:rsidRDefault="006623C6" w:rsidP="00D91D45">
      <w:pPr>
        <w:tabs>
          <w:tab w:val="left" w:pos="2552"/>
        </w:tabs>
        <w:jc w:val="both"/>
      </w:pPr>
      <w:r w:rsidRPr="00326612">
        <w:rPr>
          <w:b/>
        </w:rPr>
        <w:t>Designation</w:t>
      </w:r>
      <w:r w:rsidR="00D91D45" w:rsidRPr="00326612">
        <w:rPr>
          <w:b/>
        </w:rPr>
        <w:t>:</w:t>
      </w:r>
      <w:r w:rsidR="00D91D45" w:rsidRPr="00326612">
        <w:tab/>
        <w:t>Director of Forensic Disability</w:t>
      </w:r>
    </w:p>
    <w:p w14:paraId="139931CE" w14:textId="79B92712" w:rsidR="00D91D45" w:rsidRPr="00326612" w:rsidRDefault="00D91D45" w:rsidP="00D91D45">
      <w:pPr>
        <w:pBdr>
          <w:bottom w:val="single" w:sz="6" w:space="1" w:color="auto"/>
        </w:pBdr>
        <w:tabs>
          <w:tab w:val="left" w:pos="2552"/>
        </w:tabs>
        <w:jc w:val="both"/>
      </w:pPr>
      <w:r w:rsidRPr="00326612">
        <w:rPr>
          <w:b/>
        </w:rPr>
        <w:t>Help Contact:</w:t>
      </w:r>
      <w:r w:rsidRPr="00326612">
        <w:tab/>
      </w:r>
      <w:hyperlink r:id="rId8" w:history="1">
        <w:r w:rsidR="006623C6" w:rsidRPr="00326612">
          <w:rPr>
            <w:color w:val="0000FF" w:themeColor="hyperlink"/>
            <w:u w:val="single"/>
          </w:rPr>
          <w:t>directorforensicdisability@dsdsatsip.qld.gov.au</w:t>
        </w:r>
      </w:hyperlink>
    </w:p>
    <w:p w14:paraId="7718714B" w14:textId="77777777" w:rsidR="00A72C57" w:rsidRPr="00D91D45" w:rsidRDefault="00D91D45" w:rsidP="00D91D45">
      <w:r w:rsidRPr="00326612">
        <w:rPr>
          <w:bCs/>
          <w:sz w:val="24"/>
        </w:rPr>
        <w:t>Jenny Lynas</w:t>
      </w:r>
      <w:r w:rsidRPr="00326612">
        <w:rPr>
          <w:bCs/>
          <w:sz w:val="24"/>
        </w:rPr>
        <w:br/>
        <w:t>Director of Forensic Disability</w:t>
      </w:r>
    </w:p>
    <w:sectPr w:rsidR="00A72C57" w:rsidRPr="00D91D45" w:rsidSect="00D91D45">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5E8" w14:textId="77777777" w:rsidR="00976D7C" w:rsidRDefault="00976D7C">
      <w:r>
        <w:separator/>
      </w:r>
    </w:p>
  </w:endnote>
  <w:endnote w:type="continuationSeparator" w:id="0">
    <w:p w14:paraId="127929B3"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148B44CF" w14:textId="77777777" w:rsidR="00BF43CA" w:rsidRDefault="002B7761">
        <w:pPr>
          <w:pStyle w:val="Footer"/>
          <w:jc w:val="right"/>
        </w:pPr>
        <w:r>
          <w:fldChar w:fldCharType="begin"/>
        </w:r>
        <w:r>
          <w:instrText xml:space="preserve"> PAGE   \* MERGEFORMAT </w:instrText>
        </w:r>
        <w:r>
          <w:fldChar w:fldCharType="separate"/>
        </w:r>
        <w:r w:rsidR="004C6A88">
          <w:rPr>
            <w:noProof/>
          </w:rPr>
          <w:t>2</w:t>
        </w:r>
        <w:r>
          <w:rPr>
            <w:noProof/>
          </w:rPr>
          <w:fldChar w:fldCharType="end"/>
        </w:r>
      </w:p>
    </w:sdtContent>
  </w:sdt>
  <w:p w14:paraId="3DDB7BE3" w14:textId="77777777" w:rsidR="00BF43CA" w:rsidRDefault="00F64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4EDC6AD7" w14:textId="77777777" w:rsidR="000F3675" w:rsidRDefault="002B7761">
        <w:pPr>
          <w:pStyle w:val="Footer"/>
          <w:jc w:val="right"/>
        </w:pPr>
        <w:r>
          <w:t>1</w:t>
        </w:r>
      </w:p>
    </w:sdtContent>
  </w:sdt>
  <w:p w14:paraId="78FBAB2B" w14:textId="77777777" w:rsidR="000F3675" w:rsidRDefault="00F64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32B1" w14:textId="77777777" w:rsidR="00976D7C" w:rsidRDefault="00976D7C">
      <w:r>
        <w:separator/>
      </w:r>
    </w:p>
  </w:footnote>
  <w:footnote w:type="continuationSeparator" w:id="0">
    <w:p w14:paraId="1A9E88A5"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2AD6" w14:textId="77777777" w:rsidR="00173F46" w:rsidRDefault="002B7761">
    <w:pPr>
      <w:pStyle w:val="Header"/>
    </w:pPr>
    <w:r>
      <w:rPr>
        <w:noProof/>
      </w:rPr>
      <w:drawing>
        <wp:anchor distT="0" distB="0" distL="114300" distR="114300" simplePos="0" relativeHeight="251662336" behindDoc="1" locked="0" layoutInCell="1" allowOverlap="1" wp14:anchorId="058B4E30" wp14:editId="4C4341A8">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9183" w14:textId="77777777" w:rsidR="000F3675" w:rsidRDefault="002B7761">
    <w:pPr>
      <w:pStyle w:val="Header"/>
    </w:pPr>
    <w:r>
      <w:rPr>
        <w:noProof/>
      </w:rPr>
      <w:drawing>
        <wp:anchor distT="0" distB="0" distL="114300" distR="114300" simplePos="0" relativeHeight="251661312" behindDoc="0" locked="0" layoutInCell="1" allowOverlap="1" wp14:anchorId="4B3AA90A" wp14:editId="2473CAC3">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212"/>
    <w:multiLevelType w:val="hybridMultilevel"/>
    <w:tmpl w:val="40E02F8E"/>
    <w:lvl w:ilvl="0" w:tplc="0C090003">
      <w:start w:val="1"/>
      <w:numFmt w:val="bullet"/>
      <w:lvlText w:val="o"/>
      <w:lvlJc w:val="left"/>
      <w:pPr>
        <w:ind w:left="720" w:hanging="360"/>
      </w:pPr>
      <w:rPr>
        <w:rFonts w:ascii="Courier New" w:hAnsi="Courier New" w:cs="Courier New" w:hint="default"/>
      </w:rPr>
    </w:lvl>
    <w:lvl w:ilvl="1" w:tplc="0F628D68">
      <w:start w:val="19"/>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E29C7"/>
    <w:multiLevelType w:val="hybridMultilevel"/>
    <w:tmpl w:val="F372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C1F0E"/>
    <w:multiLevelType w:val="hybridMultilevel"/>
    <w:tmpl w:val="457E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7195D"/>
    <w:multiLevelType w:val="multilevel"/>
    <w:tmpl w:val="79AEA6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067435"/>
    <w:multiLevelType w:val="multilevel"/>
    <w:tmpl w:val="94D420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176FC"/>
    <w:multiLevelType w:val="hybridMultilevel"/>
    <w:tmpl w:val="D42A0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B42AD"/>
    <w:multiLevelType w:val="hybridMultilevel"/>
    <w:tmpl w:val="3EC8E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A1FF5"/>
    <w:multiLevelType w:val="multilevel"/>
    <w:tmpl w:val="7C50A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0C3557"/>
    <w:multiLevelType w:val="multilevel"/>
    <w:tmpl w:val="DA50CD4C"/>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241728"/>
    <w:multiLevelType w:val="hybridMultilevel"/>
    <w:tmpl w:val="AB38E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C0950"/>
    <w:multiLevelType w:val="multilevel"/>
    <w:tmpl w:val="6C9639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CD58B2"/>
    <w:multiLevelType w:val="hybridMultilevel"/>
    <w:tmpl w:val="C2A02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B7684"/>
    <w:multiLevelType w:val="multilevel"/>
    <w:tmpl w:val="9622FC22"/>
    <w:lvl w:ilvl="0">
      <w:start w:val="1"/>
      <w:numFmt w:val="bullet"/>
      <w:lvlText w:val=""/>
      <w:lvlJc w:val="left"/>
      <w:pPr>
        <w:ind w:left="482" w:hanging="482"/>
      </w:pPr>
      <w:rPr>
        <w:rFonts w:ascii="Symbol" w:hAnsi="Symbol" w:hint="default"/>
      </w:rPr>
    </w:lvl>
    <w:lvl w:ilvl="1">
      <w:start w:val="1"/>
      <w:numFmt w:val="decimal"/>
      <w:lvlText w:val="%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13" w15:restartNumberingAfterBreak="0">
    <w:nsid w:val="341B21CD"/>
    <w:multiLevelType w:val="hybridMultilevel"/>
    <w:tmpl w:val="C1EE7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B4868"/>
    <w:multiLevelType w:val="hybridMultilevel"/>
    <w:tmpl w:val="E084D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526CB2"/>
    <w:multiLevelType w:val="hybridMultilevel"/>
    <w:tmpl w:val="C3089B1A"/>
    <w:lvl w:ilvl="0" w:tplc="9318832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83D7D"/>
    <w:multiLevelType w:val="hybridMultilevel"/>
    <w:tmpl w:val="45261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4D7D59"/>
    <w:multiLevelType w:val="hybridMultilevel"/>
    <w:tmpl w:val="052C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91585"/>
    <w:multiLevelType w:val="multilevel"/>
    <w:tmpl w:val="7C50A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9568E"/>
    <w:multiLevelType w:val="hybridMultilevel"/>
    <w:tmpl w:val="A97E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A43956"/>
    <w:multiLevelType w:val="multilevel"/>
    <w:tmpl w:val="BF024F3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E482E"/>
    <w:multiLevelType w:val="multilevel"/>
    <w:tmpl w:val="02CEF2C0"/>
    <w:lvl w:ilvl="0">
      <w:start w:val="6"/>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084B99"/>
    <w:multiLevelType w:val="multilevel"/>
    <w:tmpl w:val="2580081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4C5D4E10"/>
    <w:multiLevelType w:val="multilevel"/>
    <w:tmpl w:val="7C50A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2349A2"/>
    <w:multiLevelType w:val="multilevel"/>
    <w:tmpl w:val="7C50A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003AFE"/>
    <w:multiLevelType w:val="multilevel"/>
    <w:tmpl w:val="99F6218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3B00F7"/>
    <w:multiLevelType w:val="multilevel"/>
    <w:tmpl w:val="7C50A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121FC6"/>
    <w:multiLevelType w:val="multilevel"/>
    <w:tmpl w:val="DA50CD4C"/>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5D46D0"/>
    <w:multiLevelType w:val="multilevel"/>
    <w:tmpl w:val="A87C4ACA"/>
    <w:lvl w:ilvl="0">
      <w:start w:val="5"/>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62AA4D74"/>
    <w:multiLevelType w:val="multilevel"/>
    <w:tmpl w:val="99F6218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74859"/>
    <w:multiLevelType w:val="hybridMultilevel"/>
    <w:tmpl w:val="814A8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A24AC9"/>
    <w:multiLevelType w:val="hybridMultilevel"/>
    <w:tmpl w:val="7132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5C10BB"/>
    <w:multiLevelType w:val="hybridMultilevel"/>
    <w:tmpl w:val="19A8A4E6"/>
    <w:lvl w:ilvl="0" w:tplc="0C090001">
      <w:start w:val="1"/>
      <w:numFmt w:val="bullet"/>
      <w:lvlText w:val=""/>
      <w:lvlJc w:val="left"/>
      <w:pPr>
        <w:ind w:left="646" w:hanging="362"/>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7CF3284"/>
    <w:multiLevelType w:val="hybridMultilevel"/>
    <w:tmpl w:val="6BB22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C90D9F"/>
    <w:multiLevelType w:val="multilevel"/>
    <w:tmpl w:val="2580081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72160BE1"/>
    <w:multiLevelType w:val="multilevel"/>
    <w:tmpl w:val="94D420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AF1E5D"/>
    <w:multiLevelType w:val="multilevel"/>
    <w:tmpl w:val="6C9639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335D8"/>
    <w:multiLevelType w:val="hybridMultilevel"/>
    <w:tmpl w:val="4D6E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A0364"/>
    <w:multiLevelType w:val="hybridMultilevel"/>
    <w:tmpl w:val="6B56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EB5080"/>
    <w:multiLevelType w:val="multilevel"/>
    <w:tmpl w:val="2580081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7"/>
  </w:num>
  <w:num w:numId="3">
    <w:abstractNumId w:val="9"/>
  </w:num>
  <w:num w:numId="4">
    <w:abstractNumId w:val="6"/>
  </w:num>
  <w:num w:numId="5">
    <w:abstractNumId w:val="33"/>
  </w:num>
  <w:num w:numId="6">
    <w:abstractNumId w:val="11"/>
  </w:num>
  <w:num w:numId="7">
    <w:abstractNumId w:val="31"/>
  </w:num>
  <w:num w:numId="8">
    <w:abstractNumId w:val="14"/>
  </w:num>
  <w:num w:numId="9">
    <w:abstractNumId w:val="30"/>
  </w:num>
  <w:num w:numId="10">
    <w:abstractNumId w:val="19"/>
  </w:num>
  <w:num w:numId="11">
    <w:abstractNumId w:val="38"/>
  </w:num>
  <w:num w:numId="12">
    <w:abstractNumId w:val="2"/>
  </w:num>
  <w:num w:numId="13">
    <w:abstractNumId w:val="1"/>
  </w:num>
  <w:num w:numId="14">
    <w:abstractNumId w:val="12"/>
  </w:num>
  <w:num w:numId="15">
    <w:abstractNumId w:val="27"/>
  </w:num>
  <w:num w:numId="16">
    <w:abstractNumId w:val="29"/>
  </w:num>
  <w:num w:numId="17">
    <w:abstractNumId w:val="20"/>
  </w:num>
  <w:num w:numId="18">
    <w:abstractNumId w:val="21"/>
  </w:num>
  <w:num w:numId="19">
    <w:abstractNumId w:val="25"/>
  </w:num>
  <w:num w:numId="20">
    <w:abstractNumId w:val="8"/>
  </w:num>
  <w:num w:numId="21">
    <w:abstractNumId w:val="36"/>
  </w:num>
  <w:num w:numId="22">
    <w:abstractNumId w:val="13"/>
  </w:num>
  <w:num w:numId="23">
    <w:abstractNumId w:val="7"/>
  </w:num>
  <w:num w:numId="24">
    <w:abstractNumId w:val="18"/>
  </w:num>
  <w:num w:numId="25">
    <w:abstractNumId w:val="23"/>
  </w:num>
  <w:num w:numId="26">
    <w:abstractNumId w:val="34"/>
  </w:num>
  <w:num w:numId="27">
    <w:abstractNumId w:val="10"/>
  </w:num>
  <w:num w:numId="28">
    <w:abstractNumId w:val="22"/>
  </w:num>
  <w:num w:numId="29">
    <w:abstractNumId w:val="39"/>
  </w:num>
  <w:num w:numId="30">
    <w:abstractNumId w:val="26"/>
  </w:num>
  <w:num w:numId="31">
    <w:abstractNumId w:val="28"/>
  </w:num>
  <w:num w:numId="32">
    <w:abstractNumId w:val="5"/>
  </w:num>
  <w:num w:numId="33">
    <w:abstractNumId w:val="15"/>
  </w:num>
  <w:num w:numId="34">
    <w:abstractNumId w:val="3"/>
  </w:num>
  <w:num w:numId="35">
    <w:abstractNumId w:val="37"/>
  </w:num>
  <w:num w:numId="36">
    <w:abstractNumId w:val="16"/>
  </w:num>
  <w:num w:numId="37">
    <w:abstractNumId w:val="4"/>
  </w:num>
  <w:num w:numId="38">
    <w:abstractNumId w:val="24"/>
  </w:num>
  <w:num w:numId="39">
    <w:abstractNumId w:val="35"/>
  </w:num>
  <w:num w:numId="4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6CE3"/>
    <w:rsid w:val="00077B25"/>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971BE"/>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306"/>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761"/>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612"/>
    <w:rsid w:val="00326E26"/>
    <w:rsid w:val="00333B37"/>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03A8"/>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2A2C"/>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6764"/>
    <w:rsid w:val="00497584"/>
    <w:rsid w:val="00497988"/>
    <w:rsid w:val="004A126A"/>
    <w:rsid w:val="004A1F0B"/>
    <w:rsid w:val="004A2D31"/>
    <w:rsid w:val="004A2F0B"/>
    <w:rsid w:val="004B2634"/>
    <w:rsid w:val="004B2771"/>
    <w:rsid w:val="004B27C9"/>
    <w:rsid w:val="004B2A87"/>
    <w:rsid w:val="004C3C0D"/>
    <w:rsid w:val="004C52F3"/>
    <w:rsid w:val="004C5DC6"/>
    <w:rsid w:val="004C64E0"/>
    <w:rsid w:val="004C6A88"/>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226A"/>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785"/>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0E56"/>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3C6"/>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6638"/>
    <w:rsid w:val="006A06BD"/>
    <w:rsid w:val="006A1FE2"/>
    <w:rsid w:val="006A2B45"/>
    <w:rsid w:val="006A3FA7"/>
    <w:rsid w:val="006A46C3"/>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0E08"/>
    <w:rsid w:val="0076206D"/>
    <w:rsid w:val="007628BE"/>
    <w:rsid w:val="00763406"/>
    <w:rsid w:val="007645C6"/>
    <w:rsid w:val="007702DC"/>
    <w:rsid w:val="00771529"/>
    <w:rsid w:val="00772A28"/>
    <w:rsid w:val="007731B8"/>
    <w:rsid w:val="00774F72"/>
    <w:rsid w:val="00774FE4"/>
    <w:rsid w:val="00775ADB"/>
    <w:rsid w:val="00776169"/>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1F6"/>
    <w:rsid w:val="0088498C"/>
    <w:rsid w:val="00884E7C"/>
    <w:rsid w:val="00886D67"/>
    <w:rsid w:val="00886E38"/>
    <w:rsid w:val="00886ED9"/>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51EB"/>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1432"/>
    <w:rsid w:val="009421DC"/>
    <w:rsid w:val="00943993"/>
    <w:rsid w:val="00943F7A"/>
    <w:rsid w:val="0094448C"/>
    <w:rsid w:val="00945896"/>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7BA"/>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55A2"/>
    <w:rsid w:val="00A929B8"/>
    <w:rsid w:val="00A93860"/>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3DF1"/>
    <w:rsid w:val="00AC676F"/>
    <w:rsid w:val="00AC6E7D"/>
    <w:rsid w:val="00AD0599"/>
    <w:rsid w:val="00AD071F"/>
    <w:rsid w:val="00AD16DB"/>
    <w:rsid w:val="00AD2EC4"/>
    <w:rsid w:val="00AD4B93"/>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4EE0"/>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3EC"/>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4EE0"/>
    <w:rsid w:val="00BA6C30"/>
    <w:rsid w:val="00BB0321"/>
    <w:rsid w:val="00BB14B4"/>
    <w:rsid w:val="00BB3AE9"/>
    <w:rsid w:val="00BB5483"/>
    <w:rsid w:val="00BB578B"/>
    <w:rsid w:val="00BB6D5A"/>
    <w:rsid w:val="00BB779E"/>
    <w:rsid w:val="00BB7B4A"/>
    <w:rsid w:val="00BC15C0"/>
    <w:rsid w:val="00BC1D1C"/>
    <w:rsid w:val="00BC3B71"/>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4388"/>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D9E"/>
    <w:rsid w:val="00CF1E63"/>
    <w:rsid w:val="00CF2166"/>
    <w:rsid w:val="00CF2B6C"/>
    <w:rsid w:val="00CF3FAB"/>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1D4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D5C"/>
    <w:rsid w:val="00E60E6A"/>
    <w:rsid w:val="00E624B0"/>
    <w:rsid w:val="00E62AD4"/>
    <w:rsid w:val="00E62E07"/>
    <w:rsid w:val="00E62FBC"/>
    <w:rsid w:val="00E65413"/>
    <w:rsid w:val="00E65967"/>
    <w:rsid w:val="00E65A10"/>
    <w:rsid w:val="00E6710A"/>
    <w:rsid w:val="00E714D0"/>
    <w:rsid w:val="00E763A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E65C6"/>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656F"/>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A70"/>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6A6D"/>
    <w:rsid w:val="00FD7D5E"/>
    <w:rsid w:val="00FE2506"/>
    <w:rsid w:val="00FE2B1A"/>
    <w:rsid w:val="00FE2F50"/>
    <w:rsid w:val="00FE4FE9"/>
    <w:rsid w:val="00FE7FC9"/>
    <w:rsid w:val="00FF523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6B744F3"/>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customStyle="1" w:styleId="FooterChar">
    <w:name w:val="Footer Char"/>
    <w:basedOn w:val="DefaultParagraphFont"/>
    <w:link w:val="Footer"/>
    <w:uiPriority w:val="99"/>
    <w:rsid w:val="00402A2C"/>
    <w:rPr>
      <w:rFonts w:ascii="Arial" w:hAnsi="Arial"/>
      <w:sz w:val="22"/>
      <w:szCs w:val="24"/>
    </w:rPr>
  </w:style>
  <w:style w:type="paragraph" w:styleId="Title">
    <w:name w:val="Title"/>
    <w:basedOn w:val="Normal"/>
    <w:next w:val="Normal"/>
    <w:link w:val="TitleChar"/>
    <w:qFormat/>
    <w:rsid w:val="0094143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143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C94388"/>
    <w:rPr>
      <w:sz w:val="16"/>
      <w:szCs w:val="16"/>
    </w:rPr>
  </w:style>
  <w:style w:type="paragraph" w:styleId="CommentSubject">
    <w:name w:val="annotation subject"/>
    <w:basedOn w:val="CommentText"/>
    <w:next w:val="CommentText"/>
    <w:link w:val="CommentSubjectChar"/>
    <w:semiHidden/>
    <w:unhideWhenUsed/>
    <w:rsid w:val="00C94388"/>
    <w:pPr>
      <w:spacing w:after="240"/>
    </w:pPr>
    <w:rPr>
      <w:rFonts w:cs="Times New Roman"/>
      <w:b/>
      <w:bCs/>
    </w:rPr>
  </w:style>
  <w:style w:type="character" w:customStyle="1" w:styleId="CommentSubjectChar">
    <w:name w:val="Comment Subject Char"/>
    <w:basedOn w:val="CommentTextChar"/>
    <w:link w:val="CommentSubject"/>
    <w:semiHidden/>
    <w:rsid w:val="00C94388"/>
    <w:rPr>
      <w:rFonts w:ascii="Arial" w:hAnsi="Arial" w:cs="Arial"/>
      <w:b/>
      <w:bCs/>
    </w:rPr>
  </w:style>
  <w:style w:type="paragraph" w:styleId="Revision">
    <w:name w:val="Revision"/>
    <w:hidden/>
    <w:uiPriority w:val="71"/>
    <w:semiHidden/>
    <w:rsid w:val="00C9438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4263-C1DF-4048-96CE-0EAC9804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867</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Client for whom the offence leading to the Forensic Order is a prescribed offence</vt:lpstr>
    </vt:vector>
  </TitlesOfParts>
  <Manager/>
  <Company>Queensland Government</Company>
  <LinksUpToDate>false</LinksUpToDate>
  <CharactersWithSpaces>5704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for whom the offence leading to the Forensic Order is a prescribed offence</dc:title>
  <dc:subject>Client for whom the offence leading to the Forensic Order is a prescribed offence Policy</dc:subject>
  <dc:creator>Director of Forensic Disability</dc:creator>
  <cp:keywords>operational; policy; clients; offence; forensic; order; prescribed; disability; client</cp:keywords>
  <cp:lastModifiedBy>Murray Rieck</cp:lastModifiedBy>
  <cp:revision>8</cp:revision>
  <cp:lastPrinted>2022-12-22T22:26:00Z</cp:lastPrinted>
  <dcterms:created xsi:type="dcterms:W3CDTF">2022-12-14T02:53:00Z</dcterms:created>
  <dcterms:modified xsi:type="dcterms:W3CDTF">2022-12-23T01:24:00Z</dcterms:modified>
  <cp:category>Client for whom the offence leading to the Forensic Order is a prescribed offence Policy</cp:category>
</cp:coreProperties>
</file>